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C1" w:rsidRPr="004B68C1" w:rsidRDefault="004B68C1" w:rsidP="006B6ECF">
      <w:pPr>
        <w:jc w:val="center"/>
        <w:rPr>
          <w:sz w:val="32"/>
          <w:szCs w:val="32"/>
        </w:rPr>
      </w:pPr>
    </w:p>
    <w:p w:rsidR="004B68C1" w:rsidRPr="00901DF3" w:rsidRDefault="004B68C1" w:rsidP="00901DF3">
      <w:pPr>
        <w:spacing w:after="240"/>
        <w:jc w:val="center"/>
        <w:rPr>
          <w:sz w:val="28"/>
        </w:rPr>
      </w:pPr>
      <w:r w:rsidRPr="00901DF3">
        <w:rPr>
          <w:b/>
          <w:bCs/>
          <w:sz w:val="28"/>
        </w:rPr>
        <w:t>Projekt CZ.1.07/1.1.00/08.0094 Vzdělávání pro udržitelný rozvoj v environmentálních a ekonomických souvislostech</w:t>
      </w:r>
    </w:p>
    <w:p w:rsidR="003A3F92" w:rsidRPr="004B68C1" w:rsidRDefault="003A3F92" w:rsidP="00901DF3">
      <w:pPr>
        <w:spacing w:after="240"/>
        <w:jc w:val="center"/>
        <w:rPr>
          <w:sz w:val="32"/>
          <w:szCs w:val="32"/>
        </w:rPr>
      </w:pPr>
      <w:r w:rsidRPr="004B68C1">
        <w:rPr>
          <w:sz w:val="32"/>
          <w:szCs w:val="32"/>
        </w:rPr>
        <w:t>Asociace pedagogů základního školství České republiky</w:t>
      </w:r>
    </w:p>
    <w:p w:rsidR="00DF6CC0" w:rsidRPr="004B68C1" w:rsidRDefault="00203908" w:rsidP="006B6ECF">
      <w:pPr>
        <w:jc w:val="center"/>
        <w:rPr>
          <w:sz w:val="32"/>
          <w:szCs w:val="32"/>
        </w:rPr>
      </w:pPr>
      <w:r w:rsidRPr="004B68C1">
        <w:rPr>
          <w:sz w:val="32"/>
          <w:szCs w:val="32"/>
        </w:rPr>
        <w:t>www.vcele.eu</w:t>
      </w:r>
    </w:p>
    <w:p w:rsidR="00DF6CC0" w:rsidRPr="004B68C1" w:rsidRDefault="00DF6CC0" w:rsidP="006B6ECF"/>
    <w:p w:rsidR="00203908" w:rsidRPr="004B68C1" w:rsidRDefault="00203908" w:rsidP="006B6ECF"/>
    <w:p w:rsidR="00CF5BB6" w:rsidRPr="004B68C1" w:rsidRDefault="00887B94" w:rsidP="00CF5BB6">
      <w:pPr>
        <w:pStyle w:val="Nadpis1"/>
        <w:rPr>
          <w:sz w:val="52"/>
          <w:szCs w:val="52"/>
        </w:rPr>
      </w:pPr>
      <w:r w:rsidRPr="00012DFB">
        <w:t>0</w:t>
      </w:r>
      <w:r w:rsidR="0059669F">
        <w:t>7</w:t>
      </w:r>
      <w:r w:rsidRPr="00012DFB">
        <w:t xml:space="preserve"> </w:t>
      </w:r>
      <w:r w:rsidR="0059669F" w:rsidRPr="00BC286B">
        <w:t>Jak ovlivní naši budoucnost exponenciální růst?</w:t>
      </w:r>
      <w:r w:rsidR="00CF5BB6" w:rsidRPr="004B68C1">
        <w:rPr>
          <w:sz w:val="52"/>
          <w:szCs w:val="52"/>
        </w:rPr>
        <w:br/>
      </w:r>
      <w:r w:rsidR="00C40449">
        <w:t>Učební</w:t>
      </w:r>
      <w:r w:rsidR="00CF5BB6" w:rsidRPr="004B68C1">
        <w:t xml:space="preserve"> list</w:t>
      </w:r>
      <w:r w:rsidR="00677B8B">
        <w:br/>
      </w:r>
    </w:p>
    <w:p w:rsidR="004B68C1" w:rsidRPr="004B68C1" w:rsidRDefault="004B68C1" w:rsidP="006B6ECF"/>
    <w:p w:rsidR="005B36E2" w:rsidRPr="004B68C1" w:rsidRDefault="005B36E2" w:rsidP="006B6ECF"/>
    <w:p w:rsidR="009A646B" w:rsidRPr="004B68C1" w:rsidRDefault="009A646B" w:rsidP="004B68C1">
      <w:pPr>
        <w:tabs>
          <w:tab w:val="left" w:pos="4253"/>
        </w:tabs>
        <w:rPr>
          <w:sz w:val="32"/>
          <w:szCs w:val="32"/>
        </w:rPr>
      </w:pPr>
      <w:r w:rsidRPr="004B68C1">
        <w:rPr>
          <w:sz w:val="32"/>
          <w:szCs w:val="32"/>
        </w:rPr>
        <w:t>Ročník</w:t>
      </w:r>
      <w:r w:rsidR="00DF6CC0" w:rsidRPr="004B68C1">
        <w:rPr>
          <w:sz w:val="32"/>
          <w:szCs w:val="32"/>
        </w:rPr>
        <w:t>:</w:t>
      </w:r>
      <w:r w:rsidR="004B68C1" w:rsidRPr="004B68C1">
        <w:rPr>
          <w:sz w:val="32"/>
          <w:szCs w:val="32"/>
        </w:rPr>
        <w:tab/>
      </w:r>
      <w:r w:rsidR="00EF001F">
        <w:rPr>
          <w:sz w:val="32"/>
          <w:szCs w:val="32"/>
        </w:rPr>
        <w:t>9</w:t>
      </w:r>
    </w:p>
    <w:p w:rsidR="00AE1C3E" w:rsidRPr="004B68C1" w:rsidRDefault="00A917B9" w:rsidP="006B6ECF">
      <w:pPr>
        <w:rPr>
          <w:sz w:val="32"/>
          <w:szCs w:val="32"/>
        </w:rPr>
      </w:pPr>
      <w:r w:rsidRPr="004B68C1">
        <w:rPr>
          <w:sz w:val="32"/>
          <w:szCs w:val="32"/>
        </w:rPr>
        <w:t xml:space="preserve">Doporučený počet hodin: </w:t>
      </w:r>
      <w:r w:rsidR="005B36E2" w:rsidRPr="004B68C1">
        <w:rPr>
          <w:sz w:val="32"/>
          <w:szCs w:val="32"/>
        </w:rPr>
        <w:tab/>
      </w:r>
      <w:r w:rsidR="00D038AB">
        <w:rPr>
          <w:sz w:val="32"/>
          <w:szCs w:val="32"/>
        </w:rPr>
        <w:t>2</w:t>
      </w:r>
    </w:p>
    <w:p w:rsidR="00AE1C3E" w:rsidRPr="004B68C1" w:rsidRDefault="00AE1C3E" w:rsidP="006B6ECF">
      <w:pPr>
        <w:rPr>
          <w:b/>
        </w:rPr>
      </w:pPr>
    </w:p>
    <w:p w:rsidR="00AF042F" w:rsidRPr="004B68C1" w:rsidRDefault="00AE1C3E" w:rsidP="004B68C1">
      <w:pPr>
        <w:tabs>
          <w:tab w:val="left" w:pos="4253"/>
        </w:tabs>
        <w:rPr>
          <w:sz w:val="32"/>
          <w:szCs w:val="32"/>
        </w:rPr>
      </w:pPr>
      <w:r w:rsidRPr="004B68C1">
        <w:rPr>
          <w:sz w:val="32"/>
          <w:szCs w:val="32"/>
        </w:rPr>
        <w:t>Autor:</w:t>
      </w:r>
      <w:r w:rsidR="004B68C1" w:rsidRPr="004B68C1">
        <w:rPr>
          <w:sz w:val="32"/>
          <w:szCs w:val="32"/>
        </w:rPr>
        <w:tab/>
      </w:r>
      <w:r w:rsidR="00512A48">
        <w:rPr>
          <w:sz w:val="32"/>
          <w:szCs w:val="32"/>
        </w:rPr>
        <w:t>PaedDr. Karel Tomek</w:t>
      </w:r>
    </w:p>
    <w:p w:rsidR="00AF042F" w:rsidRPr="004B68C1" w:rsidRDefault="00AF042F" w:rsidP="00CF5BB6"/>
    <w:p w:rsidR="00E768AA" w:rsidRPr="004B68C1" w:rsidRDefault="00AF042F" w:rsidP="004B68C1">
      <w:pPr>
        <w:spacing w:after="240"/>
        <w:jc w:val="left"/>
      </w:pPr>
      <w:r w:rsidRPr="004B68C1">
        <w:t>© 2011 Asociace pedagogů základního školství České republiky</w:t>
      </w:r>
    </w:p>
    <w:p w:rsidR="003C1F94" w:rsidRDefault="004B68C1" w:rsidP="00E768AA">
      <w:pPr>
        <w:jc w:val="left"/>
        <w:rPr>
          <w:sz w:val="20"/>
          <w:szCs w:val="20"/>
        </w:rPr>
        <w:sectPr w:rsidR="003C1F94" w:rsidSect="003C1F94">
          <w:footerReference w:type="default" r:id="rId9"/>
          <w:headerReference w:type="first" r:id="rId10"/>
          <w:footerReference w:type="first" r:id="rId11"/>
          <w:pgSz w:w="11906" w:h="16838" w:code="9"/>
          <w:pgMar w:top="1418" w:right="1418" w:bottom="1418" w:left="1418" w:header="340" w:footer="680" w:gutter="0"/>
          <w:pgNumType w:start="0"/>
          <w:cols w:space="708"/>
          <w:titlePg/>
          <w:docGrid w:linePitch="360"/>
        </w:sectPr>
      </w:pPr>
      <w:r w:rsidRPr="004B68C1">
        <w:rPr>
          <w:sz w:val="20"/>
          <w:szCs w:val="20"/>
        </w:rPr>
        <w:t>Ilustrační obrázky jsou použity</w:t>
      </w:r>
      <w:r w:rsidR="006B07E6">
        <w:rPr>
          <w:sz w:val="20"/>
          <w:szCs w:val="20"/>
        </w:rPr>
        <w:t xml:space="preserve"> v souladu s licencemi</w:t>
      </w:r>
      <w:r w:rsidR="00E768AA" w:rsidRPr="004B68C1">
        <w:rPr>
          <w:sz w:val="20"/>
          <w:szCs w:val="20"/>
        </w:rPr>
        <w:t>, fotodokumentace projektu VUREES a databáze software Inspiration.</w:t>
      </w:r>
    </w:p>
    <w:p w:rsidR="00BE18A4" w:rsidRDefault="0059669F" w:rsidP="00BE18A4">
      <w:pPr>
        <w:pStyle w:val="Nadpis2"/>
      </w:pPr>
      <w:r w:rsidRPr="00012DFB">
        <w:lastRenderedPageBreak/>
        <w:t>0</w:t>
      </w:r>
      <w:r>
        <w:t>7</w:t>
      </w:r>
      <w:r w:rsidRPr="00012DFB">
        <w:t xml:space="preserve"> </w:t>
      </w:r>
      <w:r w:rsidRPr="00BC286B">
        <w:t>Jak ovlivní naši budoucnost exponenciální růst?</w:t>
      </w:r>
    </w:p>
    <w:p w:rsidR="0059669F" w:rsidRPr="00BC286B" w:rsidRDefault="0059669F" w:rsidP="0059669F">
      <w:pPr>
        <w:rPr>
          <w:b/>
        </w:rPr>
      </w:pPr>
      <w:r w:rsidRPr="00BC286B">
        <w:rPr>
          <w:b/>
        </w:rPr>
        <w:t>Úvod</w:t>
      </w:r>
    </w:p>
    <w:p w:rsidR="0059669F" w:rsidRPr="00BC286B" w:rsidRDefault="0059669F" w:rsidP="0059669F">
      <w:bookmarkStart w:id="0" w:name="_N_zev_tohot_t_matu_nebyl_zvolen_n_hodn_"/>
      <w:bookmarkEnd w:id="0"/>
      <w:r w:rsidRPr="00BC286B">
        <w:t>Název tohoto tématu nebyl zvolen náhodně.</w:t>
      </w:r>
      <w:bookmarkStart w:id="1" w:name="_Za_n_zvem_je_otazn_k__Ka_d__slovo_v_n_z"/>
      <w:bookmarkEnd w:id="1"/>
      <w:r w:rsidRPr="00BC286B">
        <w:t xml:space="preserve"> Za názvem je otazník. Každé slovo v názvu je velký otazník.</w:t>
      </w:r>
      <w:bookmarkStart w:id="2" w:name="_M__v_bec_smysl_zab_vat_se_t_matem__kter"/>
      <w:bookmarkEnd w:id="2"/>
      <w:r w:rsidRPr="00BC286B">
        <w:t xml:space="preserve"> Má vůbec smysl zabývat se tématem, které přináší více otázek než odpovědí? Určitě ano. Pokrok spočívá především v hledání odpovědí na otázky. Neexistují hloupé otázky. </w:t>
      </w:r>
      <w:bookmarkStart w:id="3" w:name="_V_t_to_lekci_se_budeme_postupn__zab_vat"/>
      <w:bookmarkEnd w:id="3"/>
    </w:p>
    <w:p w:rsidR="0059669F" w:rsidRPr="00BC286B" w:rsidRDefault="0059669F" w:rsidP="0059669F">
      <w:r w:rsidRPr="00BC286B">
        <w:t>V této lekci se budeme postupně zabývat jednotlivými stavebními kameny budoucnosti.</w:t>
      </w:r>
    </w:p>
    <w:p w:rsidR="00825999" w:rsidRDefault="00825999" w:rsidP="0059669F">
      <w:pPr>
        <w:rPr>
          <w:b/>
        </w:rPr>
      </w:pPr>
    </w:p>
    <w:p w:rsidR="0059669F" w:rsidRPr="00BC286B" w:rsidRDefault="0059669F" w:rsidP="0059669F">
      <w:pPr>
        <w:rPr>
          <w:b/>
        </w:rPr>
      </w:pPr>
      <w:r w:rsidRPr="00BC286B">
        <w:rPr>
          <w:b/>
        </w:rPr>
        <w:t>Co je to budoucnost?</w:t>
      </w:r>
    </w:p>
    <w:p w:rsidR="0059669F" w:rsidRPr="00BC286B" w:rsidRDefault="0059669F" w:rsidP="0059669F">
      <w:bookmarkStart w:id="4" w:name="_O_budoucnosti_v_me_jen_to___e_nastane_a"/>
      <w:bookmarkEnd w:id="4"/>
      <w:r w:rsidRPr="00BC286B">
        <w:t>O budoucnosti víme jen to, že nastane a že její podoba bude ovlivněna lidmi včetně každého z nás. Samozřejmě mohou nastat nějaké neočekávané události, přírodní katastrofy, na které lidé nemají vliv. My tu společně budeme přemýšlet o budoucnosti, kterou jako lidé vytváříme pro sebe a další generace.</w:t>
      </w:r>
    </w:p>
    <w:p w:rsidR="0059669F" w:rsidRDefault="000C34A6" w:rsidP="0059669F">
      <w:bookmarkStart w:id="5" w:name="_Budoucnost_ka_d_ho_z_n_s_je_omezena_n_k"/>
      <w:bookmarkEnd w:id="5"/>
      <w:r>
        <w:t>Život každého z nás je omezen</w:t>
      </w:r>
      <w:r w:rsidR="0059669F" w:rsidRPr="00BC286B">
        <w:t xml:space="preserve"> desítkami let. Domluvme se tedy, že budeme-li mluvit o budoucnosti, máme na mysli několik dalších</w:t>
      </w:r>
      <w:r w:rsidR="00301F69">
        <w:t xml:space="preserve"> desetiletí.</w:t>
      </w:r>
      <w:r w:rsidR="0059669F" w:rsidRPr="00BC286B">
        <w:t xml:space="preserve"> Dobu, kdy dnešní žáci budou dospělí a budou mít své rodiny a práci. Víte, jaká je v současnosti průměrná délka života v České republice? Víte, kolik to bylo před </w:t>
      </w:r>
      <w:r w:rsidR="00B31FE3">
        <w:t xml:space="preserve">desti nebo dvaceti </w:t>
      </w:r>
      <w:r w:rsidR="0059669F" w:rsidRPr="00BC286B">
        <w:t xml:space="preserve">lety? </w:t>
      </w:r>
      <w:r w:rsidR="0059669F">
        <w:t xml:space="preserve">Zde jsou </w:t>
      </w:r>
      <w:r w:rsidR="0059669F" w:rsidRPr="00BC286B">
        <w:t xml:space="preserve">údaje </w:t>
      </w:r>
      <w:r w:rsidR="0059669F">
        <w:t xml:space="preserve">ze </w:t>
      </w:r>
      <w:r w:rsidR="0059669F" w:rsidRPr="00BC286B">
        <w:t>strán</w:t>
      </w:r>
      <w:r w:rsidR="0059669F">
        <w:t>e</w:t>
      </w:r>
      <w:r w:rsidR="0059669F" w:rsidRPr="00BC286B">
        <w:t xml:space="preserve">k Českého statistického úřadu. </w:t>
      </w:r>
    </w:p>
    <w:p w:rsidR="00F91524" w:rsidRDefault="00F91524" w:rsidP="00F91524">
      <w:pPr>
        <w:ind w:left="-426"/>
      </w:pPr>
      <w:bookmarkStart w:id="6" w:name="_Budoucnost_lidsk__civilizace_n_kolika_t"/>
      <w:bookmarkEnd w:id="6"/>
      <w:r w:rsidRPr="00F91524">
        <w:rPr>
          <w:noProof/>
        </w:rPr>
        <w:drawing>
          <wp:inline distT="0" distB="0" distL="0" distR="0">
            <wp:extent cx="5759450" cy="3407542"/>
            <wp:effectExtent l="1905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9669F" w:rsidRPr="00BC286B" w:rsidRDefault="0059669F" w:rsidP="0059669F">
      <w:r w:rsidRPr="00BC286B">
        <w:t>Doufáme, že budoucnost lidské civilizace jsou tisíce let.</w:t>
      </w:r>
    </w:p>
    <w:p w:rsidR="0059669F" w:rsidRPr="00BC286B" w:rsidRDefault="0059669F" w:rsidP="0059669F">
      <w:bookmarkStart w:id="7" w:name="_Budoucnost_p__rody_a_planety_mili_ny_le"/>
      <w:bookmarkEnd w:id="7"/>
      <w:r w:rsidRPr="00BC286B">
        <w:lastRenderedPageBreak/>
        <w:t xml:space="preserve">Budoucnost přírody a planety Země se počítá v miliónech let. </w:t>
      </w:r>
      <w:bookmarkStart w:id="8" w:name="_Co_je_na_e_budoucnost_"/>
      <w:bookmarkEnd w:id="8"/>
    </w:p>
    <w:p w:rsidR="00825999" w:rsidRDefault="00825999" w:rsidP="0059669F">
      <w:pPr>
        <w:rPr>
          <w:b/>
        </w:rPr>
      </w:pPr>
    </w:p>
    <w:p w:rsidR="0059669F" w:rsidRPr="00BC286B" w:rsidRDefault="0059669F" w:rsidP="0059669F">
      <w:pPr>
        <w:rPr>
          <w:b/>
        </w:rPr>
      </w:pPr>
      <w:r w:rsidRPr="00BC286B">
        <w:rPr>
          <w:b/>
        </w:rPr>
        <w:t>Co je naše budoucnost?</w:t>
      </w:r>
    </w:p>
    <w:p w:rsidR="0059669F" w:rsidRPr="00BC286B" w:rsidRDefault="0059669F" w:rsidP="0059669F">
      <w:bookmarkStart w:id="9" w:name="_Generace_a_jejich_role_ve_spole_nosti_"/>
      <w:bookmarkEnd w:id="9"/>
      <w:r w:rsidRPr="00BC286B">
        <w:t xml:space="preserve">Generace a jejich role ve společnosti. Za další generaci jsou považovány děti rodičů, pokud je to v jedné rodině. Ve společnosti je to období, kdy většina lidí určitého věku založí rodiny a má děti. Narodí se nová generace. Generace se střídají zhruba po 25 letech. </w:t>
      </w:r>
    </w:p>
    <w:p w:rsidR="0059669F" w:rsidRPr="00BC286B" w:rsidRDefault="0059669F" w:rsidP="0059669F">
      <w:bookmarkStart w:id="10" w:name="_Generace_dne_n_ch__kol_k__"/>
      <w:bookmarkEnd w:id="10"/>
      <w:r w:rsidRPr="00BC286B">
        <w:t xml:space="preserve">Generace dnešních školáků ve věku 14 - 15 let se tedy stane rodiči pravděpodobně někdy </w:t>
      </w:r>
      <w:r w:rsidRPr="00F91524">
        <w:rPr>
          <w:b/>
        </w:rPr>
        <w:t>kolem roku 2022</w:t>
      </w:r>
      <w:r w:rsidRPr="00BC286B">
        <w:t xml:space="preserve">. Zapamatujte si to datum. V té době začnete postupně přebírat odpovědnost za stav společnosti. Jaká bude společnost kolem roku 2040 a později, už bude záležet především na vás. </w:t>
      </w:r>
    </w:p>
    <w:p w:rsidR="0059669F" w:rsidRPr="00BC286B" w:rsidRDefault="0059669F" w:rsidP="0059669F">
      <w:bookmarkStart w:id="11" w:name="_Budoucnost_nen__tak_nejist__jak_se_zd__"/>
      <w:bookmarkEnd w:id="11"/>
      <w:r w:rsidRPr="00BC286B">
        <w:t xml:space="preserve">Budoucnost není tak nejistá, jak se zdá na první pohled. To je </w:t>
      </w:r>
      <w:r w:rsidRPr="00F91524">
        <w:rPr>
          <w:b/>
        </w:rPr>
        <w:t>dobrá zpráva</w:t>
      </w:r>
      <w:r w:rsidRPr="00BC286B">
        <w:t xml:space="preserve">. Některé věci se přece dají odhadnout docela dobře. Lidé i v budoucnosti budou potřebovat někde bydlet, jíst, pít, bavit se, vzdělávat se, budou pracovat, budou potřebovat lékařskou péči, dopravovat se z místa na místo. </w:t>
      </w:r>
    </w:p>
    <w:p w:rsidR="0059669F" w:rsidRPr="00BC286B" w:rsidRDefault="0059669F" w:rsidP="0059669F">
      <w:bookmarkStart w:id="12" w:name="_Budoucnost_je_je_t__mnohem_nejist_j____"/>
      <w:bookmarkEnd w:id="12"/>
      <w:r w:rsidRPr="00F91524">
        <w:rPr>
          <w:b/>
        </w:rPr>
        <w:t>Špatná zpráva</w:t>
      </w:r>
      <w:r w:rsidRPr="00BC286B">
        <w:t xml:space="preserve"> je to, že budoucnost je ještě mnohem nejistější, než to vypadá na</w:t>
      </w:r>
      <w:r w:rsidR="00F91524">
        <w:t> </w:t>
      </w:r>
      <w:r w:rsidRPr="00BC286B">
        <w:t xml:space="preserve">první pohled. Nevíme, kolik nás vlastně bude na světě, zda budou stačit přírodní zdroje, nevíme, zda se to rostoucí množství lidí bude </w:t>
      </w:r>
      <w:r w:rsidRPr="007708D3">
        <w:t>umět domluvit</w:t>
      </w:r>
      <w:r w:rsidRPr="00BC286B">
        <w:t>, nevíme, jestli se pro všechny podaří zajistit potravu, vodu, bydlení, nevíme, jak se budou chovat ti, kteří budou mít něčeho nedost</w:t>
      </w:r>
      <w:r w:rsidR="007708D3">
        <w:t xml:space="preserve">atek. </w:t>
      </w:r>
      <w:r w:rsidRPr="00BC286B">
        <w:t xml:space="preserve">Nevíme, jaké technologie </w:t>
      </w:r>
      <w:r>
        <w:t>se podaří vytvořit. Pomohou</w:t>
      </w:r>
      <w:r w:rsidRPr="00BC286B">
        <w:t xml:space="preserve"> inovace vyřešit všechny předvídatelné problémy nebo vytvoří další, dnes nepředvídatelné problémy? (Nelekejte se, zatím se vždy podařilo nalézt řešení.)</w:t>
      </w:r>
    </w:p>
    <w:p w:rsidR="0059669F" w:rsidRDefault="0059669F" w:rsidP="00F91524">
      <w:bookmarkStart w:id="13" w:name="_D_le_it__tajemstv__o_budoucnosti_pro_ml"/>
      <w:bookmarkEnd w:id="13"/>
      <w:r w:rsidRPr="00BC286B">
        <w:t>Důležitá tajemství o budoucnosti pro mladé lidi jsou čtyři</w:t>
      </w:r>
      <w:r w:rsidR="00F91524">
        <w:t>:</w:t>
      </w:r>
    </w:p>
    <w:p w:rsidR="00F91524" w:rsidRPr="00BC286B" w:rsidRDefault="00F91524" w:rsidP="00F91524">
      <w:r>
        <w:rPr>
          <w:noProof/>
        </w:rPr>
        <w:drawing>
          <wp:inline distT="0" distB="0" distL="0" distR="0">
            <wp:extent cx="4631690" cy="2185035"/>
            <wp:effectExtent l="19050" t="0" r="0" b="0"/>
            <wp:docPr id="5" name="obrázek 4" descr="D:\práce\VUREES\pracovní listy\verze 2012-10-16\9\obr\vurees_9. roc_UL7_4 pravidla o budoucnosti.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áce\VUREES\pracovní listy\verze 2012-10-16\9\obr\vurees_9. roc_UL7_4 pravidla o budoucnosti.wmf"/>
                    <pic:cNvPicPr>
                      <a:picLocks noChangeAspect="1" noChangeArrowheads="1"/>
                    </pic:cNvPicPr>
                  </pic:nvPicPr>
                  <pic:blipFill>
                    <a:blip r:embed="rId13"/>
                    <a:srcRect/>
                    <a:stretch>
                      <a:fillRect/>
                    </a:stretch>
                  </pic:blipFill>
                  <pic:spPr bwMode="auto">
                    <a:xfrm>
                      <a:off x="0" y="0"/>
                      <a:ext cx="4631690" cy="2185035"/>
                    </a:xfrm>
                    <a:prstGeom prst="rect">
                      <a:avLst/>
                    </a:prstGeom>
                    <a:noFill/>
                    <a:ln w="9525">
                      <a:noFill/>
                      <a:miter lim="800000"/>
                      <a:headEnd/>
                      <a:tailEnd/>
                    </a:ln>
                  </pic:spPr>
                </pic:pic>
              </a:graphicData>
            </a:graphic>
          </wp:inline>
        </w:drawing>
      </w:r>
    </w:p>
    <w:p w:rsidR="0059669F" w:rsidRPr="00BC286B" w:rsidRDefault="0059669F" w:rsidP="0059669F">
      <w:r w:rsidRPr="00F91524">
        <w:rPr>
          <w:b/>
        </w:rPr>
        <w:t>Jediné, co máme</w:t>
      </w:r>
      <w:r w:rsidR="00A33835">
        <w:rPr>
          <w:b/>
        </w:rPr>
        <w:t xml:space="preserve"> opravdu v moci je </w:t>
      </w:r>
      <w:r w:rsidRPr="00F91524">
        <w:rPr>
          <w:b/>
        </w:rPr>
        <w:t>vlastní myšlení a chování.</w:t>
      </w:r>
      <w:r w:rsidRPr="00BC286B">
        <w:t xml:space="preserve"> Nepotřebujeme být zrovna filosofy a vědci, abychom pochopili, že pokud nebudeme vytvářet vlastní budoucnost, budeme žít ve světě, který vytvořil někdo jiný podle </w:t>
      </w:r>
      <w:r w:rsidRPr="00BC286B">
        <w:lastRenderedPageBreak/>
        <w:t xml:space="preserve">svých představ. Je tedy rozumnější uskutečňovat své </w:t>
      </w:r>
      <w:r w:rsidR="00DA6F4E">
        <w:t xml:space="preserve">vlastní </w:t>
      </w:r>
      <w:r w:rsidRPr="00BC286B">
        <w:t>myšlenky a přání</w:t>
      </w:r>
      <w:r w:rsidR="00DA6F4E">
        <w:t xml:space="preserve"> než ží</w:t>
      </w:r>
      <w:r w:rsidRPr="00BC286B">
        <w:t xml:space="preserve">t podle představ někoho jiného. Na druhou stranu, to znamená dobře rozumět světu a lidem, aby naše myšlenky a činy přinášely štěstí nám a zároveň neškodily jiným lidem a přírodě. </w:t>
      </w:r>
      <w:r w:rsidR="00A33835" w:rsidRPr="00BC286B">
        <w:t>Tuhle příležitost dává dobré vzdělání.</w:t>
      </w:r>
      <w:r w:rsidR="00A33835">
        <w:t xml:space="preserve"> Lidé považují v životě za důležité různé věci, věří v různé hodnoty. </w:t>
      </w:r>
      <w:bookmarkStart w:id="14" w:name="_Co_je_to_budoucnost_"/>
      <w:bookmarkStart w:id="15" w:name="_Co_je_to_r_st_"/>
      <w:bookmarkEnd w:id="14"/>
      <w:bookmarkEnd w:id="15"/>
      <w:r w:rsidR="002E7789">
        <w:t>Někteří lidé vnímají současný, na spotřebu věcí orientovaný způsob života naší společnosti velmi kriticky. To, že existují různé názory na to, jaká by měla být naše budoucnost, je dobře. Důležité je umět si vzájemně naslouchat a dobře přemýšlet.</w:t>
      </w:r>
    </w:p>
    <w:p w:rsidR="00825999" w:rsidRDefault="00825999" w:rsidP="0059669F">
      <w:pPr>
        <w:rPr>
          <w:b/>
        </w:rPr>
      </w:pPr>
    </w:p>
    <w:p w:rsidR="0059669F" w:rsidRPr="00BC286B" w:rsidRDefault="0059669F" w:rsidP="0059669F">
      <w:pPr>
        <w:rPr>
          <w:b/>
        </w:rPr>
      </w:pPr>
      <w:r w:rsidRPr="00BC286B">
        <w:rPr>
          <w:b/>
        </w:rPr>
        <w:t>Co je to růst?</w:t>
      </w:r>
      <w:bookmarkStart w:id="16" w:name="_Jednou_z_jistot_je_plynut___asu__V_ci_s"/>
      <w:bookmarkEnd w:id="16"/>
    </w:p>
    <w:p w:rsidR="0059669F" w:rsidRPr="00BC286B" w:rsidRDefault="0059669F" w:rsidP="0059669F">
      <w:r w:rsidRPr="00BC286B">
        <w:t>Jednou z jistot je plynutí času. Věci se v čase buď mění, nebo nemění.</w:t>
      </w:r>
      <w:bookmarkStart w:id="17" w:name="_Rychlost_zm_n_je_n_co__co_se_d__m__it_"/>
      <w:bookmarkEnd w:id="17"/>
      <w:r w:rsidRPr="00BC286B">
        <w:t xml:space="preserve"> Rychlost změn je něco, co se dá měřit.</w:t>
      </w:r>
      <w:bookmarkStart w:id="18" w:name="_N_kter__hodnoty_rostou_a_je_to_dobr__zp"/>
      <w:bookmarkEnd w:id="18"/>
    </w:p>
    <w:p w:rsidR="0059669F" w:rsidRPr="00BC286B" w:rsidRDefault="0059669F" w:rsidP="0059669F">
      <w:r w:rsidRPr="00BC286B">
        <w:t xml:space="preserve">Některé </w:t>
      </w:r>
      <w:r w:rsidR="007708D3">
        <w:t xml:space="preserve">žádoucí </w:t>
      </w:r>
      <w:r w:rsidRPr="00BC286B">
        <w:t>hodnoty rostou:</w:t>
      </w:r>
    </w:p>
    <w:p w:rsidR="0059669F" w:rsidRPr="00BC286B" w:rsidRDefault="0059669F" w:rsidP="00F91524">
      <w:pPr>
        <w:pStyle w:val="Odstavecseseznamem"/>
        <w:numPr>
          <w:ilvl w:val="0"/>
          <w:numId w:val="37"/>
        </w:numPr>
        <w:tabs>
          <w:tab w:val="clear" w:pos="567"/>
        </w:tabs>
        <w:ind w:left="567" w:hanging="283"/>
        <w:jc w:val="left"/>
      </w:pPr>
      <w:bookmarkStart w:id="19" w:name="_Prodlu_uje_se_d_lka_lidsk_ho__ivota"/>
      <w:bookmarkEnd w:id="19"/>
      <w:r w:rsidRPr="00BC286B">
        <w:t>Prodlužuje se délka lidského života</w:t>
      </w:r>
      <w:bookmarkStart w:id="20" w:name="_Zlep_uje_se_zdravotn__p__e"/>
      <w:bookmarkEnd w:id="20"/>
    </w:p>
    <w:p w:rsidR="0059669F" w:rsidRPr="00BC286B" w:rsidRDefault="0059669F" w:rsidP="00F91524">
      <w:pPr>
        <w:pStyle w:val="Odstavecseseznamem"/>
        <w:numPr>
          <w:ilvl w:val="0"/>
          <w:numId w:val="37"/>
        </w:numPr>
        <w:tabs>
          <w:tab w:val="clear" w:pos="567"/>
        </w:tabs>
        <w:ind w:left="567" w:hanging="283"/>
        <w:jc w:val="left"/>
      </w:pPr>
      <w:r w:rsidRPr="00BC286B">
        <w:t>Zlepšuje se zdravotní péče</w:t>
      </w:r>
      <w:bookmarkStart w:id="21" w:name="_Lid__vyr_b__v_ce_v_c___kter__mohou_spot"/>
      <w:bookmarkEnd w:id="21"/>
    </w:p>
    <w:p w:rsidR="0059669F" w:rsidRPr="00BC286B" w:rsidRDefault="0059669F" w:rsidP="00F91524">
      <w:pPr>
        <w:pStyle w:val="Odstavecseseznamem"/>
        <w:numPr>
          <w:ilvl w:val="0"/>
          <w:numId w:val="37"/>
        </w:numPr>
        <w:tabs>
          <w:tab w:val="clear" w:pos="567"/>
        </w:tabs>
        <w:ind w:left="567" w:hanging="283"/>
        <w:jc w:val="left"/>
      </w:pPr>
      <w:r w:rsidRPr="00BC286B">
        <w:t>Lidé vyrábí více věcí, které mohou spotřebovávat a používat</w:t>
      </w:r>
      <w:bookmarkStart w:id="22" w:name="_Roste_po_et_lid___kte___nejsou_chud_"/>
      <w:bookmarkEnd w:id="22"/>
    </w:p>
    <w:p w:rsidR="0059669F" w:rsidRPr="00BC286B" w:rsidRDefault="0059669F" w:rsidP="00F91524">
      <w:pPr>
        <w:pStyle w:val="Odstavecseseznamem"/>
        <w:numPr>
          <w:ilvl w:val="0"/>
          <w:numId w:val="37"/>
        </w:numPr>
        <w:tabs>
          <w:tab w:val="clear" w:pos="567"/>
        </w:tabs>
        <w:ind w:left="567" w:hanging="283"/>
        <w:jc w:val="left"/>
      </w:pPr>
      <w:r w:rsidRPr="00BC286B">
        <w:t>Roste počet lidí, kteří nejsou chudí</w:t>
      </w:r>
      <w:bookmarkStart w:id="23" w:name="_Tohle_v_echno_ale_neplat__ve_v_ech___st"/>
      <w:bookmarkEnd w:id="23"/>
    </w:p>
    <w:p w:rsidR="0059669F" w:rsidRPr="00BC286B" w:rsidRDefault="0059669F" w:rsidP="0059669F">
      <w:r w:rsidRPr="00BC286B">
        <w:t>Tohle všechno ale neplatí ve všech částech světa, takže rostou rozdíly mezi jednotlivými zeměmi.</w:t>
      </w:r>
    </w:p>
    <w:p w:rsidR="0059669F" w:rsidRPr="00BC286B" w:rsidRDefault="0059669F" w:rsidP="0059669F">
      <w:bookmarkStart w:id="24" w:name="_R_st_nemus__b_t_spojen_jen_s_p_edstavou"/>
      <w:bookmarkEnd w:id="24"/>
      <w:r w:rsidRPr="00BC286B">
        <w:t>Růst nemusí být spojen jen s představou něčeho kladného, růst mohou i hodnoty, o které nestojíme:</w:t>
      </w:r>
    </w:p>
    <w:p w:rsidR="0059669F" w:rsidRPr="00BC286B" w:rsidRDefault="0059669F" w:rsidP="00F91524">
      <w:pPr>
        <w:pStyle w:val="Odstavecseseznamem"/>
        <w:numPr>
          <w:ilvl w:val="0"/>
          <w:numId w:val="37"/>
        </w:numPr>
        <w:tabs>
          <w:tab w:val="clear" w:pos="567"/>
        </w:tabs>
        <w:ind w:left="567" w:hanging="283"/>
        <w:jc w:val="left"/>
      </w:pPr>
      <w:bookmarkStart w:id="25" w:name="_R_st_zadlu_en_"/>
      <w:bookmarkEnd w:id="25"/>
      <w:r w:rsidRPr="00BC286B">
        <w:t>Růst zadlužení</w:t>
      </w:r>
      <w:bookmarkStart w:id="26" w:name="_R_st_inflace"/>
      <w:bookmarkEnd w:id="26"/>
    </w:p>
    <w:p w:rsidR="0059669F" w:rsidRPr="00BC286B" w:rsidRDefault="0059669F" w:rsidP="00F91524">
      <w:pPr>
        <w:pStyle w:val="Odstavecseseznamem"/>
        <w:numPr>
          <w:ilvl w:val="0"/>
          <w:numId w:val="37"/>
        </w:numPr>
        <w:tabs>
          <w:tab w:val="clear" w:pos="567"/>
        </w:tabs>
        <w:ind w:left="567" w:hanging="283"/>
        <w:jc w:val="left"/>
      </w:pPr>
      <w:r w:rsidRPr="00BC286B">
        <w:t>Růst inflace</w:t>
      </w:r>
      <w:bookmarkStart w:id="27" w:name="_R_st_nezam_stnanosti"/>
      <w:bookmarkEnd w:id="27"/>
    </w:p>
    <w:p w:rsidR="0059669F" w:rsidRPr="00BC286B" w:rsidRDefault="0059669F" w:rsidP="00F91524">
      <w:pPr>
        <w:pStyle w:val="Odstavecseseznamem"/>
        <w:numPr>
          <w:ilvl w:val="0"/>
          <w:numId w:val="37"/>
        </w:numPr>
        <w:tabs>
          <w:tab w:val="clear" w:pos="567"/>
        </w:tabs>
        <w:ind w:left="567" w:hanging="283"/>
        <w:jc w:val="left"/>
      </w:pPr>
      <w:r w:rsidRPr="00BC286B">
        <w:t>Růst nezaměstnanosti</w:t>
      </w:r>
      <w:bookmarkStart w:id="28" w:name="_R_st_zen_i_t_n__vzduchu__mo____potravin"/>
      <w:bookmarkEnd w:id="28"/>
    </w:p>
    <w:p w:rsidR="0059669F" w:rsidRPr="00BC286B" w:rsidRDefault="0059669F" w:rsidP="00F91524">
      <w:pPr>
        <w:pStyle w:val="Odstavecseseznamem"/>
        <w:numPr>
          <w:ilvl w:val="0"/>
          <w:numId w:val="37"/>
        </w:numPr>
        <w:tabs>
          <w:tab w:val="clear" w:pos="567"/>
        </w:tabs>
        <w:ind w:left="567" w:hanging="283"/>
        <w:jc w:val="left"/>
      </w:pPr>
      <w:r w:rsidRPr="00BC286B">
        <w:t>Růst znečištění vzduchu, moří, potravin</w:t>
      </w:r>
      <w:bookmarkStart w:id="29" w:name="_R_st_populace_taky_nen__zrovna_dobr__zp"/>
      <w:bookmarkEnd w:id="29"/>
    </w:p>
    <w:p w:rsidR="0059669F" w:rsidRPr="00BC286B" w:rsidRDefault="0059669F" w:rsidP="00F91524">
      <w:pPr>
        <w:pStyle w:val="Odstavecseseznamem"/>
        <w:numPr>
          <w:ilvl w:val="0"/>
          <w:numId w:val="37"/>
        </w:numPr>
        <w:tabs>
          <w:tab w:val="clear" w:pos="567"/>
        </w:tabs>
        <w:ind w:left="567" w:hanging="283"/>
        <w:jc w:val="left"/>
      </w:pPr>
      <w:r w:rsidRPr="00BC286B">
        <w:t>Růst celkového počtu lidí</w:t>
      </w:r>
      <w:r w:rsidR="007708D3">
        <w:t xml:space="preserve"> na Zemi</w:t>
      </w:r>
    </w:p>
    <w:p w:rsidR="00825999" w:rsidRDefault="00825999" w:rsidP="0059669F">
      <w:pPr>
        <w:rPr>
          <w:b/>
        </w:rPr>
      </w:pPr>
      <w:bookmarkStart w:id="30" w:name="_Co_je_to_exponenci_ln__r_st_"/>
      <w:bookmarkEnd w:id="30"/>
    </w:p>
    <w:p w:rsidR="0059669F" w:rsidRPr="001E1580" w:rsidRDefault="0059669F" w:rsidP="0059669F">
      <w:pPr>
        <w:rPr>
          <w:b/>
        </w:rPr>
      </w:pPr>
      <w:r w:rsidRPr="001E1580">
        <w:rPr>
          <w:b/>
        </w:rPr>
        <w:t>Co je to exponenciální růst?</w:t>
      </w:r>
    </w:p>
    <w:p w:rsidR="00F91524" w:rsidRDefault="0059669F" w:rsidP="0059669F">
      <w:bookmarkStart w:id="31" w:name="_Roste_li_n_co_o_stejnou_hodnotu_za_stej"/>
      <w:bookmarkEnd w:id="31"/>
      <w:r w:rsidRPr="00BC286B">
        <w:t>Roste-li něco o stejnou hodnotu za stejnou časovou jednotku, je to růst lineární.</w:t>
      </w:r>
    </w:p>
    <w:p w:rsidR="0059669F" w:rsidRPr="00BC286B" w:rsidRDefault="0059669F" w:rsidP="0059669F">
      <w:r w:rsidRPr="00F91524">
        <w:rPr>
          <w:b/>
        </w:rPr>
        <w:t>Příklad:</w:t>
      </w:r>
      <w:r w:rsidRPr="00BC286B">
        <w:t xml:space="preserve"> Spotřeba vody v domácnosti za deset let je součtem přibližně stejného množství vody za jednotlivé roky. To znáte z matematiky. Klíčové slovo je sčítání.</w:t>
      </w:r>
    </w:p>
    <w:p w:rsidR="0059669F" w:rsidRPr="00BC286B" w:rsidRDefault="0059669F" w:rsidP="0059669F">
      <w:bookmarkStart w:id="32" w:name="__ada_proces__v__iv_ch_syst_mech_a_ve_sp"/>
      <w:bookmarkEnd w:id="32"/>
      <w:r w:rsidRPr="00BC286B">
        <w:t xml:space="preserve">Řada procesů v živých systémech a ve společnosti funguje jinak. Týká se to jak rozmnožování, tak předávání myšlenek a konec konců právě našeho tématu, tedy </w:t>
      </w:r>
      <w:r w:rsidRPr="00BC286B">
        <w:lastRenderedPageBreak/>
        <w:t xml:space="preserve">inovací. </w:t>
      </w:r>
      <w:r w:rsidRPr="00F91524">
        <w:rPr>
          <w:b/>
        </w:rPr>
        <w:t>Rychlost změn</w:t>
      </w:r>
      <w:r w:rsidRPr="00BC286B">
        <w:t xml:space="preserve"> se nezvyšuje o nějakou stejnou hodnotu, dokonce ani o její násobky, ale </w:t>
      </w:r>
      <w:r w:rsidRPr="00F91524">
        <w:rPr>
          <w:b/>
        </w:rPr>
        <w:t>o její mocniny</w:t>
      </w:r>
      <w:r w:rsidRPr="00BC286B">
        <w:t xml:space="preserve">. Tomu se říká exponenciální růst.  </w:t>
      </w:r>
    </w:p>
    <w:p w:rsidR="0059669F" w:rsidRPr="00BC286B" w:rsidRDefault="0059669F" w:rsidP="0059669F">
      <w:bookmarkStart w:id="33" w:name="_Snadno_si_to_uk__eme_na_p__kladu__Nebud"/>
      <w:bookmarkEnd w:id="33"/>
      <w:r w:rsidRPr="00BC286B">
        <w:t xml:space="preserve">Snadno si to ukážeme na příkladu. Nebudeme rozmnožovat myši, ten příklad znáte z biologie. Ukážeme si to na příkladu </w:t>
      </w:r>
      <w:r w:rsidRPr="00F91524">
        <w:rPr>
          <w:b/>
        </w:rPr>
        <w:t>šíření počítačových virů</w:t>
      </w:r>
      <w:r w:rsidRPr="00BC286B">
        <w:t>.</w:t>
      </w:r>
    </w:p>
    <w:p w:rsidR="00F91524" w:rsidRDefault="0059669F" w:rsidP="0059669F">
      <w:r w:rsidRPr="00BC286B">
        <w:t xml:space="preserve">Pokud je vytvořen počítačový virus (škodlivý program), který má navíc tu vlastnost, že se šíří </w:t>
      </w:r>
      <w:r w:rsidR="00825999">
        <w:t>e-</w:t>
      </w:r>
      <w:r w:rsidRPr="00BC286B">
        <w:t>mailovou poštou, můžeme si na něm ukázat, co to exponenciální šíření (růst).</w:t>
      </w:r>
      <w:r w:rsidR="007708D3">
        <w:t xml:space="preserve"> Je to jen příklad! Mnoho počítačových virů a škodlivých programů se šíří i jinými způsoby. </w:t>
      </w:r>
    </w:p>
    <w:p w:rsidR="0059669F" w:rsidRPr="00BC286B" w:rsidRDefault="0059669F" w:rsidP="0059669F">
      <w:r w:rsidRPr="00BC286B">
        <w:t xml:space="preserve">Tvůrce programu rozešle 100 </w:t>
      </w:r>
      <w:r w:rsidR="00F91524">
        <w:t>e-</w:t>
      </w:r>
      <w:r w:rsidRPr="00BC286B">
        <w:t>mailů s virem (1. krok) někteří si mail přečtou a dál ho nepošlou. Kdyby jen 50 z nich poslalo tento mail dalším 100 lidem (2. krok), je to už 50 x 100 tedy 5 000 zpráv se škodlivým obsahem. Pokud budeme uvažovat stejně, tedy že zprávu pošle dál jen polovina z nich, pořád to bude 2 500 lidí, kteří v 3. kroku rozešlou zprávu každý dalším 100 lidem. To už bude zasaženo 25</w:t>
      </w:r>
      <w:r w:rsidR="007708D3">
        <w:t>0</w:t>
      </w:r>
      <w:r w:rsidRPr="00BC286B">
        <w:t xml:space="preserve"> 000 uživatelů. Kolik kroků bude potřeba k zasažení 1 milionu uživatelů? Zapište si svůj odhad. A teď můžeme počítat dál. Polovina z 25 000 uživatelů pošle </w:t>
      </w:r>
      <w:r w:rsidR="00F91524">
        <w:t>e-</w:t>
      </w:r>
      <w:r w:rsidRPr="00BC286B">
        <w:t>maily každý dalším sto lidem</w:t>
      </w:r>
      <w:r w:rsidR="005816AE">
        <w:t xml:space="preserve"> (4. krok)</w:t>
      </w:r>
      <w:bookmarkStart w:id="34" w:name="_GoBack"/>
      <w:bookmarkEnd w:id="34"/>
      <w:r w:rsidRPr="00BC286B">
        <w:t xml:space="preserve">. To je 12 500 krát 100. Možná vás to překvapí, ale žádné další kroky už nepotřebujeme. Virus zasáhl 1 250 000 počítačů. </w:t>
      </w:r>
    </w:p>
    <w:p w:rsidR="0059669F" w:rsidRPr="00BC286B" w:rsidRDefault="0059669F" w:rsidP="00916F3A">
      <w:pPr>
        <w:spacing w:after="120"/>
      </w:pPr>
      <w:r w:rsidRPr="00BC286B">
        <w:t xml:space="preserve">Stačily 4 kroky k dosažení počtu většího než jeden milion. </w:t>
      </w:r>
    </w:p>
    <w:p w:rsidR="0059669F" w:rsidRPr="00BC286B" w:rsidRDefault="0059669F" w:rsidP="00916F3A">
      <w:pPr>
        <w:spacing w:after="120"/>
      </w:pPr>
      <w:r>
        <w:t xml:space="preserve">1. </w:t>
      </w:r>
      <w:r w:rsidRPr="00BC286B">
        <w:t>První krok 100 mailů</w:t>
      </w:r>
    </w:p>
    <w:p w:rsidR="0059669F" w:rsidRPr="00BC286B" w:rsidRDefault="0059669F" w:rsidP="00916F3A">
      <w:pPr>
        <w:spacing w:after="120"/>
      </w:pPr>
      <w:r>
        <w:t xml:space="preserve">2. </w:t>
      </w:r>
      <w:r w:rsidRPr="00BC286B">
        <w:t>Druhý krok 50 x 100 mailů = 5 000 mailů</w:t>
      </w:r>
    </w:p>
    <w:p w:rsidR="0059669F" w:rsidRPr="00BC286B" w:rsidRDefault="0059669F" w:rsidP="00916F3A">
      <w:pPr>
        <w:spacing w:after="120"/>
      </w:pPr>
      <w:r>
        <w:t xml:space="preserve">3. </w:t>
      </w:r>
      <w:r w:rsidRPr="00BC286B">
        <w:t>Třetí krok 2 500 x 100 mailů = 25</w:t>
      </w:r>
      <w:r w:rsidR="007708D3">
        <w:t>0</w:t>
      </w:r>
      <w:r w:rsidRPr="00BC286B">
        <w:t xml:space="preserve"> 000 mailů</w:t>
      </w:r>
    </w:p>
    <w:p w:rsidR="0059669F" w:rsidRPr="00BC286B" w:rsidRDefault="0059669F" w:rsidP="00916F3A">
      <w:pPr>
        <w:spacing w:after="120"/>
      </w:pPr>
      <w:r>
        <w:t xml:space="preserve">4. </w:t>
      </w:r>
      <w:r w:rsidR="007708D3">
        <w:t>Čtvrtý krok 12</w:t>
      </w:r>
      <w:r w:rsidRPr="00BC286B">
        <w:t>5</w:t>
      </w:r>
      <w:r w:rsidR="007708D3">
        <w:t xml:space="preserve"> 0</w:t>
      </w:r>
      <w:r w:rsidRPr="00BC286B">
        <w:t>00 x 100 mailů = 12</w:t>
      </w:r>
      <w:r w:rsidR="007708D3">
        <w:t xml:space="preserve"> </w:t>
      </w:r>
      <w:r w:rsidRPr="00BC286B">
        <w:t>50</w:t>
      </w:r>
      <w:r w:rsidR="007708D3">
        <w:t>0</w:t>
      </w:r>
      <w:r w:rsidRPr="00BC286B">
        <w:t xml:space="preserve"> 000 mailů a taky zavirovaných počítačů.</w:t>
      </w:r>
    </w:p>
    <w:p w:rsidR="00916F3A" w:rsidRDefault="00916F3A" w:rsidP="00916F3A">
      <w:pPr>
        <w:spacing w:after="120"/>
        <w:jc w:val="center"/>
      </w:pPr>
      <w:r w:rsidRPr="00916F3A">
        <w:rPr>
          <w:noProof/>
        </w:rPr>
        <w:drawing>
          <wp:inline distT="0" distB="0" distL="0" distR="0">
            <wp:extent cx="5372100" cy="3305175"/>
            <wp:effectExtent l="0" t="0" r="0" b="0"/>
            <wp:docPr id="6"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9669F" w:rsidRPr="00BC286B" w:rsidRDefault="0059669F" w:rsidP="00916F3A">
      <w:pPr>
        <w:spacing w:after="120"/>
      </w:pPr>
      <w:r w:rsidRPr="00BC286B">
        <w:lastRenderedPageBreak/>
        <w:t>Pouhé čtyři kroky!</w:t>
      </w:r>
    </w:p>
    <w:p w:rsidR="0059669F" w:rsidRPr="00BC286B" w:rsidRDefault="0059669F" w:rsidP="0059669F">
      <w:r w:rsidRPr="00BC286B">
        <w:t>Takto funguje exponenciální růst.</w:t>
      </w:r>
    </w:p>
    <w:p w:rsidR="0059669F" w:rsidRPr="00BC286B" w:rsidRDefault="0059669F" w:rsidP="0059669F">
      <w:pPr>
        <w:rPr>
          <w:b/>
        </w:rPr>
      </w:pPr>
      <w:bookmarkStart w:id="35" w:name="_Zp_tky_k_na___ot_zce"/>
      <w:bookmarkEnd w:id="35"/>
      <w:r>
        <w:rPr>
          <w:b/>
        </w:rPr>
        <w:t>Zpátky k naší otázce</w:t>
      </w:r>
    </w:p>
    <w:p w:rsidR="0059669F" w:rsidRPr="00BC286B" w:rsidRDefault="0059669F" w:rsidP="0059669F">
      <w:bookmarkStart w:id="36" w:name="_Stru_n__odpov___zn__jednodu_e___VELMI"/>
      <w:bookmarkEnd w:id="36"/>
      <w:r w:rsidRPr="00BC286B">
        <w:t xml:space="preserve">Jak tedy ovlivní naši budoucnost exponenciální růst? Stručná odpověď zní jednoduše </w:t>
      </w:r>
      <w:r w:rsidR="00916F3A">
        <w:t>–</w:t>
      </w:r>
      <w:r w:rsidRPr="00BC286B">
        <w:t xml:space="preserve"> VELMI</w:t>
      </w:r>
      <w:r w:rsidR="00916F3A">
        <w:t>.</w:t>
      </w:r>
    </w:p>
    <w:p w:rsidR="0059669F" w:rsidRPr="00BC286B" w:rsidRDefault="00B279D5" w:rsidP="0059669F">
      <w:bookmarkStart w:id="37" w:name="_Pro_podrobn_j___odpov___sta___se_pozorn"/>
      <w:bookmarkEnd w:id="37"/>
      <w:r>
        <w:rPr>
          <w:noProof/>
        </w:rPr>
        <w:drawing>
          <wp:anchor distT="0" distB="0" distL="114300" distR="114300" simplePos="0" relativeHeight="251659264" behindDoc="0" locked="0" layoutInCell="1" allowOverlap="1">
            <wp:simplePos x="0" y="0"/>
            <wp:positionH relativeFrom="column">
              <wp:posOffset>92075</wp:posOffset>
            </wp:positionH>
            <wp:positionV relativeFrom="paragraph">
              <wp:posOffset>431800</wp:posOffset>
            </wp:positionV>
            <wp:extent cx="1452880" cy="2185035"/>
            <wp:effectExtent l="19050" t="0" r="0" b="0"/>
            <wp:wrapSquare wrapText="bothSides"/>
            <wp:docPr id="8" name="obrázek 6" descr="C:\Users\any\Desktop\ID-100469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ny\Desktop\ID-10046914.jpg"/>
                    <pic:cNvPicPr>
                      <a:picLocks noChangeAspect="1" noChangeArrowheads="1"/>
                    </pic:cNvPicPr>
                  </pic:nvPicPr>
                  <pic:blipFill>
                    <a:blip r:embed="rId15"/>
                    <a:srcRect/>
                    <a:stretch>
                      <a:fillRect/>
                    </a:stretch>
                  </pic:blipFill>
                  <pic:spPr bwMode="auto">
                    <a:xfrm>
                      <a:off x="0" y="0"/>
                      <a:ext cx="1452880" cy="2185035"/>
                    </a:xfrm>
                    <a:prstGeom prst="rect">
                      <a:avLst/>
                    </a:prstGeom>
                    <a:noFill/>
                    <a:ln w="9525">
                      <a:noFill/>
                      <a:miter lim="800000"/>
                      <a:headEnd/>
                      <a:tailEnd/>
                    </a:ln>
                  </pic:spPr>
                </pic:pic>
              </a:graphicData>
            </a:graphic>
          </wp:anchor>
        </w:drawing>
      </w:r>
      <w:r w:rsidR="0059669F" w:rsidRPr="00BC286B">
        <w:t>Pro podrobnější odpověď stačí se pozorněji podívat na oblasti, kt</w:t>
      </w:r>
      <w:r w:rsidR="0059669F">
        <w:t>eré se mění:</w:t>
      </w:r>
    </w:p>
    <w:p w:rsidR="0059669F" w:rsidRPr="00BC286B" w:rsidRDefault="008928F6" w:rsidP="008928F6">
      <w:pPr>
        <w:pStyle w:val="Odstavecseseznamem"/>
        <w:numPr>
          <w:ilvl w:val="0"/>
          <w:numId w:val="40"/>
        </w:numPr>
        <w:tabs>
          <w:tab w:val="clear" w:pos="567"/>
        </w:tabs>
        <w:ind w:left="567" w:hanging="283"/>
        <w:jc w:val="left"/>
      </w:pPr>
      <w:bookmarkStart w:id="38" w:name="_Suroviny_a_jejich_dostupnost"/>
      <w:bookmarkEnd w:id="38"/>
      <w:r>
        <w:t>s</w:t>
      </w:r>
      <w:r w:rsidR="0059669F" w:rsidRPr="00BC286B">
        <w:t>uroviny a jejich dostupnost</w:t>
      </w:r>
      <w:bookmarkStart w:id="39" w:name="_Informace"/>
      <w:bookmarkEnd w:id="39"/>
    </w:p>
    <w:p w:rsidR="0059669F" w:rsidRPr="00BC286B" w:rsidRDefault="008928F6" w:rsidP="008928F6">
      <w:pPr>
        <w:pStyle w:val="Odstavecseseznamem"/>
        <w:numPr>
          <w:ilvl w:val="0"/>
          <w:numId w:val="40"/>
        </w:numPr>
        <w:tabs>
          <w:tab w:val="clear" w:pos="567"/>
        </w:tabs>
        <w:ind w:left="567" w:hanging="283"/>
        <w:jc w:val="left"/>
      </w:pPr>
      <w:r>
        <w:t>i</w:t>
      </w:r>
      <w:r w:rsidR="0059669F" w:rsidRPr="00BC286B">
        <w:t>nformace</w:t>
      </w:r>
      <w:bookmarkStart w:id="40" w:name="_Technika_a_technologie"/>
      <w:bookmarkEnd w:id="40"/>
    </w:p>
    <w:p w:rsidR="0059669F" w:rsidRPr="00BC286B" w:rsidRDefault="008928F6" w:rsidP="008928F6">
      <w:pPr>
        <w:pStyle w:val="Odstavecseseznamem"/>
        <w:numPr>
          <w:ilvl w:val="0"/>
          <w:numId w:val="40"/>
        </w:numPr>
        <w:tabs>
          <w:tab w:val="clear" w:pos="567"/>
        </w:tabs>
        <w:ind w:left="567" w:hanging="283"/>
        <w:jc w:val="left"/>
      </w:pPr>
      <w:r>
        <w:t>t</w:t>
      </w:r>
      <w:r w:rsidR="0059669F" w:rsidRPr="00BC286B">
        <w:t>echnika a technologie</w:t>
      </w:r>
      <w:bookmarkStart w:id="41" w:name="_Pr_ce_a_zam_stnanost"/>
      <w:bookmarkEnd w:id="41"/>
    </w:p>
    <w:p w:rsidR="0059669F" w:rsidRDefault="008928F6" w:rsidP="008928F6">
      <w:pPr>
        <w:pStyle w:val="Odstavecseseznamem"/>
        <w:numPr>
          <w:ilvl w:val="0"/>
          <w:numId w:val="40"/>
        </w:numPr>
        <w:tabs>
          <w:tab w:val="clear" w:pos="567"/>
        </w:tabs>
        <w:ind w:left="567" w:hanging="283"/>
        <w:jc w:val="left"/>
      </w:pPr>
      <w:r>
        <w:t>p</w:t>
      </w:r>
      <w:r w:rsidR="0059669F" w:rsidRPr="00BC286B">
        <w:t>ráce a zaměstnanost</w:t>
      </w:r>
    </w:p>
    <w:p w:rsidR="0059669F" w:rsidRDefault="0059669F" w:rsidP="0059669F">
      <w:r>
        <w:t>a to určitě není zdaleka všechno…</w:t>
      </w:r>
    </w:p>
    <w:p w:rsidR="00B279D5" w:rsidRDefault="00B279D5" w:rsidP="00B279D5">
      <w:pPr>
        <w:rPr>
          <w:b/>
          <w:sz w:val="20"/>
          <w:szCs w:val="20"/>
        </w:rPr>
      </w:pPr>
    </w:p>
    <w:p w:rsidR="00B279D5" w:rsidRDefault="00B279D5" w:rsidP="00B279D5">
      <w:r w:rsidRPr="00E90C63">
        <w:rPr>
          <w:b/>
          <w:sz w:val="20"/>
          <w:szCs w:val="20"/>
        </w:rPr>
        <w:t>Obrázek:</w:t>
      </w:r>
      <w:r>
        <w:rPr>
          <w:sz w:val="20"/>
          <w:szCs w:val="20"/>
        </w:rPr>
        <w:t xml:space="preserve"> Práce a zaměstnanost by Ambro</w:t>
      </w:r>
      <w:r w:rsidRPr="00E90C63">
        <w:rPr>
          <w:sz w:val="20"/>
          <w:szCs w:val="20"/>
        </w:rPr>
        <w:t xml:space="preserve"> on </w:t>
      </w:r>
      <w:hyperlink r:id="rId16" w:history="1">
        <w:r w:rsidRPr="00E90C63">
          <w:rPr>
            <w:rStyle w:val="Hypertextovodkaz"/>
            <w:color w:val="4F81BD" w:themeColor="accent1"/>
            <w:sz w:val="20"/>
            <w:szCs w:val="20"/>
          </w:rPr>
          <w:t>freedigitalphotos.net</w:t>
        </w:r>
      </w:hyperlink>
    </w:p>
    <w:p w:rsidR="00B279D5" w:rsidRDefault="00B279D5" w:rsidP="0059669F">
      <w:bookmarkStart w:id="42" w:name="_Stru_n__shrnuto"/>
      <w:bookmarkEnd w:id="42"/>
    </w:p>
    <w:p w:rsidR="00B279D5" w:rsidRDefault="00B279D5" w:rsidP="0059669F"/>
    <w:p w:rsidR="0059669F" w:rsidRDefault="00B279D5" w:rsidP="0059669F">
      <w:r>
        <w:rPr>
          <w:noProof/>
        </w:rPr>
        <w:drawing>
          <wp:anchor distT="0" distB="0" distL="114300" distR="114300" simplePos="0" relativeHeight="251658240" behindDoc="1" locked="0" layoutInCell="1" allowOverlap="1">
            <wp:simplePos x="0" y="0"/>
            <wp:positionH relativeFrom="column">
              <wp:posOffset>3393440</wp:posOffset>
            </wp:positionH>
            <wp:positionV relativeFrom="paragraph">
              <wp:posOffset>12065</wp:posOffset>
            </wp:positionV>
            <wp:extent cx="2308225" cy="3181985"/>
            <wp:effectExtent l="19050" t="0" r="0" b="0"/>
            <wp:wrapSquare wrapText="bothSides"/>
            <wp:docPr id="7" name="obrázek 5" descr="C:\Users\any\Desktop\ID-10073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y\Desktop\ID-10073362.jpg"/>
                    <pic:cNvPicPr>
                      <a:picLocks noChangeAspect="1" noChangeArrowheads="1"/>
                    </pic:cNvPicPr>
                  </pic:nvPicPr>
                  <pic:blipFill>
                    <a:blip r:embed="rId17"/>
                    <a:srcRect/>
                    <a:stretch>
                      <a:fillRect/>
                    </a:stretch>
                  </pic:blipFill>
                  <pic:spPr bwMode="auto">
                    <a:xfrm>
                      <a:off x="0" y="0"/>
                      <a:ext cx="2308225" cy="3181985"/>
                    </a:xfrm>
                    <a:prstGeom prst="rect">
                      <a:avLst/>
                    </a:prstGeom>
                    <a:noFill/>
                    <a:ln w="9525">
                      <a:noFill/>
                      <a:miter lim="800000"/>
                      <a:headEnd/>
                      <a:tailEnd/>
                    </a:ln>
                  </pic:spPr>
                </pic:pic>
              </a:graphicData>
            </a:graphic>
          </wp:anchor>
        </w:drawing>
      </w:r>
      <w:r w:rsidR="0059669F">
        <w:t>Samozřejmě ne všechno se mění a vyvíjí exponenciálně. Podle předn</w:t>
      </w:r>
      <w:r w:rsidR="00D37F15">
        <w:t>ích odborníků na budoucí vývoj  (</w:t>
      </w:r>
      <w:r w:rsidR="0059669F">
        <w:t>Ray</w:t>
      </w:r>
      <w:r w:rsidR="00825999">
        <w:t xml:space="preserve"> </w:t>
      </w:r>
      <w:r w:rsidR="0059669F">
        <w:t>Kurtzweil mezi ně rozhodně patří</w:t>
      </w:r>
      <w:r w:rsidR="00D37F15">
        <w:t xml:space="preserve"> - více so něm dozvíte například zde </w:t>
      </w:r>
      <w:hyperlink r:id="rId18" w:history="1">
        <w:r w:rsidR="00D37F15" w:rsidRPr="009450F8">
          <w:rPr>
            <w:rStyle w:val="Hypertextovodkaz"/>
          </w:rPr>
          <w:t>http://blisty.cz/art/25854.html</w:t>
        </w:r>
      </w:hyperlink>
      <w:r w:rsidR="00D37F15">
        <w:t xml:space="preserve">) </w:t>
      </w:r>
      <w:r w:rsidR="0059669F">
        <w:t>existuje nejméně pět oblastí, které se exponenciálně vyvíjet budou:</w:t>
      </w:r>
    </w:p>
    <w:p w:rsidR="0059669F" w:rsidRPr="004A28EE" w:rsidRDefault="0059669F" w:rsidP="0059669F">
      <w:pPr>
        <w:pStyle w:val="Odstavecseseznamem"/>
        <w:numPr>
          <w:ilvl w:val="0"/>
          <w:numId w:val="39"/>
        </w:numPr>
        <w:tabs>
          <w:tab w:val="clear" w:pos="567"/>
        </w:tabs>
        <w:jc w:val="left"/>
      </w:pPr>
      <w:r w:rsidRPr="004A28EE">
        <w:rPr>
          <w:rFonts w:cs="Calibri"/>
        </w:rPr>
        <w:t>nanotechnologie</w:t>
      </w:r>
    </w:p>
    <w:p w:rsidR="0059669F" w:rsidRPr="004A28EE" w:rsidRDefault="0059669F" w:rsidP="0059669F">
      <w:pPr>
        <w:pStyle w:val="Odstavecseseznamem"/>
        <w:numPr>
          <w:ilvl w:val="0"/>
          <w:numId w:val="39"/>
        </w:numPr>
        <w:tabs>
          <w:tab w:val="clear" w:pos="567"/>
        </w:tabs>
        <w:jc w:val="left"/>
      </w:pPr>
      <w:r w:rsidRPr="004A28EE">
        <w:rPr>
          <w:rFonts w:cs="Calibri"/>
        </w:rPr>
        <w:t>biotechnologie</w:t>
      </w:r>
    </w:p>
    <w:p w:rsidR="0059669F" w:rsidRPr="004A28EE" w:rsidRDefault="0059669F" w:rsidP="0059669F">
      <w:pPr>
        <w:pStyle w:val="Odstavecseseznamem"/>
        <w:numPr>
          <w:ilvl w:val="0"/>
          <w:numId w:val="39"/>
        </w:numPr>
        <w:tabs>
          <w:tab w:val="clear" w:pos="567"/>
        </w:tabs>
        <w:jc w:val="left"/>
      </w:pPr>
      <w:r w:rsidRPr="004A28EE">
        <w:rPr>
          <w:rFonts w:cs="Calibri"/>
        </w:rPr>
        <w:t>umělá inteligence</w:t>
      </w:r>
    </w:p>
    <w:p w:rsidR="0059669F" w:rsidRPr="004A28EE" w:rsidRDefault="0059669F" w:rsidP="0059669F">
      <w:pPr>
        <w:pStyle w:val="Odstavecseseznamem"/>
        <w:numPr>
          <w:ilvl w:val="0"/>
          <w:numId w:val="39"/>
        </w:numPr>
        <w:tabs>
          <w:tab w:val="clear" w:pos="567"/>
        </w:tabs>
        <w:jc w:val="left"/>
      </w:pPr>
      <w:r w:rsidRPr="004A28EE">
        <w:rPr>
          <w:rFonts w:cs="Calibri"/>
        </w:rPr>
        <w:t>robotika</w:t>
      </w:r>
    </w:p>
    <w:p w:rsidR="0059669F" w:rsidRPr="004A28EE" w:rsidRDefault="0059669F" w:rsidP="0059669F">
      <w:pPr>
        <w:pStyle w:val="Odstavecseseznamem"/>
        <w:numPr>
          <w:ilvl w:val="0"/>
          <w:numId w:val="39"/>
        </w:numPr>
        <w:tabs>
          <w:tab w:val="clear" w:pos="567"/>
        </w:tabs>
        <w:jc w:val="left"/>
      </w:pPr>
      <w:r w:rsidRPr="004A28EE">
        <w:rPr>
          <w:rFonts w:cs="Calibri"/>
        </w:rPr>
        <w:t>bioinformatika</w:t>
      </w:r>
    </w:p>
    <w:p w:rsidR="0059669F" w:rsidRPr="00E90C63" w:rsidRDefault="0059669F" w:rsidP="0059669F">
      <w:pPr>
        <w:pStyle w:val="Odstavecseseznamem"/>
        <w:numPr>
          <w:ilvl w:val="0"/>
          <w:numId w:val="39"/>
        </w:numPr>
        <w:tabs>
          <w:tab w:val="clear" w:pos="567"/>
        </w:tabs>
        <w:jc w:val="left"/>
      </w:pPr>
      <w:r w:rsidRPr="004A28EE">
        <w:rPr>
          <w:rFonts w:cs="Calibri"/>
        </w:rPr>
        <w:t xml:space="preserve">navíc </w:t>
      </w:r>
      <w:r>
        <w:rPr>
          <w:rFonts w:cs="Calibri"/>
        </w:rPr>
        <w:t xml:space="preserve">se bude určitě dál vyvíjet </w:t>
      </w:r>
      <w:r w:rsidRPr="004A28EE">
        <w:rPr>
          <w:rFonts w:cs="Calibri"/>
        </w:rPr>
        <w:t>tzv. chytrý internet</w:t>
      </w:r>
    </w:p>
    <w:p w:rsidR="00E90C63" w:rsidRPr="00E90C63" w:rsidRDefault="00E90C63" w:rsidP="00E90C63">
      <w:pPr>
        <w:pStyle w:val="Odstavecseseznamem"/>
        <w:numPr>
          <w:ilvl w:val="0"/>
          <w:numId w:val="0"/>
        </w:numPr>
        <w:tabs>
          <w:tab w:val="clear" w:pos="567"/>
        </w:tabs>
        <w:ind w:left="720"/>
        <w:jc w:val="left"/>
      </w:pPr>
    </w:p>
    <w:p w:rsidR="008D5606" w:rsidRDefault="00E90C63" w:rsidP="00E90C63">
      <w:pPr>
        <w:pStyle w:val="Odstavecseseznamem"/>
        <w:numPr>
          <w:ilvl w:val="0"/>
          <w:numId w:val="0"/>
        </w:numPr>
        <w:tabs>
          <w:tab w:val="clear" w:pos="567"/>
        </w:tabs>
        <w:ind w:left="720"/>
        <w:jc w:val="right"/>
        <w:rPr>
          <w:sz w:val="20"/>
          <w:szCs w:val="20"/>
        </w:rPr>
      </w:pPr>
      <w:r w:rsidRPr="00E90C63">
        <w:rPr>
          <w:b/>
          <w:sz w:val="20"/>
          <w:szCs w:val="20"/>
        </w:rPr>
        <w:t>Obrázek:</w:t>
      </w:r>
      <w:r>
        <w:rPr>
          <w:sz w:val="20"/>
          <w:szCs w:val="20"/>
        </w:rPr>
        <w:t xml:space="preserve"> Nano</w:t>
      </w:r>
      <w:r w:rsidR="008D5606">
        <w:rPr>
          <w:sz w:val="20"/>
          <w:szCs w:val="20"/>
        </w:rPr>
        <w:t>bot na červené krvince</w:t>
      </w:r>
    </w:p>
    <w:p w:rsidR="00E90C63" w:rsidRPr="00E90C63" w:rsidRDefault="00E90C63" w:rsidP="00E90C63">
      <w:pPr>
        <w:pStyle w:val="Odstavecseseznamem"/>
        <w:numPr>
          <w:ilvl w:val="0"/>
          <w:numId w:val="0"/>
        </w:numPr>
        <w:tabs>
          <w:tab w:val="clear" w:pos="567"/>
        </w:tabs>
        <w:ind w:left="720"/>
        <w:jc w:val="right"/>
        <w:rPr>
          <w:sz w:val="20"/>
          <w:szCs w:val="20"/>
        </w:rPr>
      </w:pPr>
      <w:r>
        <w:rPr>
          <w:sz w:val="20"/>
          <w:szCs w:val="20"/>
        </w:rPr>
        <w:t xml:space="preserve">by </w:t>
      </w:r>
      <w:r w:rsidRPr="00E90C63">
        <w:rPr>
          <w:sz w:val="20"/>
          <w:szCs w:val="20"/>
        </w:rPr>
        <w:t xml:space="preserve">Victor Habbick on </w:t>
      </w:r>
      <w:hyperlink r:id="rId19" w:history="1">
        <w:r w:rsidRPr="00E90C63">
          <w:rPr>
            <w:rStyle w:val="Hypertextovodkaz"/>
            <w:color w:val="4F81BD" w:themeColor="accent1"/>
            <w:sz w:val="20"/>
            <w:szCs w:val="20"/>
          </w:rPr>
          <w:t>freedigitalphotos.net</w:t>
        </w:r>
      </w:hyperlink>
    </w:p>
    <w:p w:rsidR="0059669F" w:rsidRDefault="0059669F" w:rsidP="0059669F">
      <w:r>
        <w:t xml:space="preserve">Pokud přesně nevíte, co se pod těmito slovy skrývá, máte nejvyšší, čas se o to začít zajímat. Jsou to pravděpodobně obory, ve kterých mnoho z vás bude pracovat. Nevěříte? Další z uznávaných odborníků na budoucnost Thomas Fray předpověděl, že </w:t>
      </w:r>
      <w:r>
        <w:lastRenderedPageBreak/>
        <w:t xml:space="preserve">do roku 2030 (vzpomeňte si, na kapitolu </w:t>
      </w:r>
      <w:r w:rsidR="008928F6" w:rsidRPr="00370000">
        <w:t>„Co je naše budoucnost?“</w:t>
      </w:r>
      <w:r>
        <w:t xml:space="preserve"> a datum 2022) by mohlo </w:t>
      </w:r>
      <w:r w:rsidRPr="00370000">
        <w:rPr>
          <w:b/>
        </w:rPr>
        <w:t>zaniknout až dvě miliardy současných pracovních míst</w:t>
      </w:r>
      <w:r>
        <w:t>. To je polovina ze všech, které dnes existují! Píše o tom uznávaný mezinárodní časopis National</w:t>
      </w:r>
      <w:r w:rsidR="008928F6">
        <w:t xml:space="preserve"> </w:t>
      </w:r>
      <w:r>
        <w:t xml:space="preserve">Geographic. Některé povolání zaniknou, ale jiná vzniknou. Pokud vás toto téma zaujalo, celý článek naleznete: </w:t>
      </w:r>
      <w:hyperlink r:id="rId20" w:history="1">
        <w:r w:rsidRPr="00A07500">
          <w:rPr>
            <w:rStyle w:val="Hypertextovodkaz"/>
          </w:rPr>
          <w:t>http://www.national-geographic.cz/detail/svet-za-18-let-zmizi-polovina-pracovnich-mist-odepsani-jsou-ucitele-vojaci-i-hornici-11248/</w:t>
        </w:r>
      </w:hyperlink>
    </w:p>
    <w:p w:rsidR="00825999" w:rsidRDefault="00825999" w:rsidP="0059669F">
      <w:pPr>
        <w:rPr>
          <w:b/>
        </w:rPr>
      </w:pPr>
    </w:p>
    <w:p w:rsidR="0059669F" w:rsidRPr="004B6D9A" w:rsidRDefault="0059669F" w:rsidP="0059669F">
      <w:pPr>
        <w:rPr>
          <w:b/>
        </w:rPr>
      </w:pPr>
      <w:r w:rsidRPr="004B6D9A">
        <w:rPr>
          <w:b/>
        </w:rPr>
        <w:t>Stručně shrnuto</w:t>
      </w:r>
    </w:p>
    <w:p w:rsidR="0059669F" w:rsidRPr="00BC286B" w:rsidRDefault="0059669F" w:rsidP="0059669F">
      <w:bookmarkStart w:id="43" w:name="_T_m___e_v_voj_mnoha_v_c__ve_spole_nosti"/>
      <w:bookmarkEnd w:id="43"/>
      <w:r w:rsidRPr="00BC286B">
        <w:t>Tím, že vývoj mnoha věcí ve společnosti má podobu exponenciálního růstu, bude se množství a velikost změn, se kterými se budou lidé muset vyrovnat stále zvětšovat. Hranici tohoto zrychlování neznáme, ale tušíme, že zrychlovat nelze do nekonečna. Hranicemi budou pravděpodobně suroviny a energie. Říká se tomu meze růstu. Zatím to ale nevypadá na to, že bychom se k těmto hranicím blížili na dosah.</w:t>
      </w:r>
    </w:p>
    <w:p w:rsidR="0059669F" w:rsidRPr="00BC286B" w:rsidRDefault="0059669F" w:rsidP="0059669F">
      <w:bookmarkStart w:id="44" w:name="_V_n_sleduj_c_ch_n_kolika_desetilet_ch_p"/>
      <w:bookmarkEnd w:id="44"/>
      <w:r w:rsidRPr="00BC286B">
        <w:t xml:space="preserve">V následujících několika desetiletích pravděpodobně zanikne mnoho povolání, které dnes lidé vykonávají a naopak vzniknou pracovní příležitosti v úplně nových oborech. Spokojený a šťastný život bude znamenat především dvě věci. Najít si uplatnění v tom, v čem je každý z vás nejlepší a dělat to, co prospívá ostatním lidem a neškodí přírodě a životnímu prostředí.  Pokud si z této lekce zapamatujete tohle, tak je to užitečný výsledek. </w:t>
      </w:r>
    </w:p>
    <w:sectPr w:rsidR="0059669F" w:rsidRPr="00BC286B" w:rsidSect="00887B94">
      <w:headerReference w:type="first" r:id="rId21"/>
      <w:footerReference w:type="first" r:id="rId22"/>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F4A" w:rsidRDefault="00112F4A" w:rsidP="006B6ECF">
      <w:r>
        <w:separator/>
      </w:r>
    </w:p>
  </w:endnote>
  <w:endnote w:type="continuationSeparator" w:id="0">
    <w:p w:rsidR="00112F4A" w:rsidRDefault="00112F4A" w:rsidP="006B6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606" w:rsidRDefault="008707D6" w:rsidP="006B6ECF">
    <w:pPr>
      <w:pStyle w:val="Zpat"/>
      <w:jc w:val="center"/>
    </w:pPr>
    <w:r>
      <w:fldChar w:fldCharType="begin"/>
    </w:r>
    <w:r w:rsidR="00AE78D5">
      <w:instrText xml:space="preserve"> PAGE   \* MERGEFORMAT </w:instrText>
    </w:r>
    <w:r>
      <w:fldChar w:fldCharType="separate"/>
    </w:r>
    <w:r w:rsidR="005816AE">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C1" w:rsidRPr="004B68C1" w:rsidRDefault="00112F4A" w:rsidP="004B68C1">
    <w:pPr>
      <w:pStyle w:val="Zpat"/>
      <w:tabs>
        <w:tab w:val="clear" w:pos="284"/>
        <w:tab w:val="left" w:pos="0"/>
      </w:tabs>
      <w:jc w:val="center"/>
      <w:rPr>
        <w:rFonts w:ascii="Arial" w:hAnsi="Arial" w:cs="Arial"/>
        <w:sz w:val="20"/>
        <w:szCs w:val="20"/>
      </w:rPr>
    </w:pPr>
    <w:r>
      <w:rPr>
        <w:rFonts w:ascii="Arial" w:hAnsi="Arial" w:cs="Arial"/>
        <w:noProof/>
        <w:sz w:val="20"/>
        <w:szCs w:val="20"/>
      </w:rPr>
      <w:pict>
        <v:line id="_x0000_s2050" style="position:absolute;left:0;text-align:left;z-index:251657728" from="0,-9.1pt" to="456.4pt,-9.1pt"/>
      </w:pict>
    </w:r>
    <w:r w:rsidR="004B68C1" w:rsidRPr="004B68C1">
      <w:rPr>
        <w:rFonts w:ascii="Arial" w:hAnsi="Arial" w:cs="Arial"/>
        <w:sz w:val="20"/>
        <w:szCs w:val="20"/>
      </w:rPr>
      <w:t>Tento projekt je spolufinancován z Evropského sociálního fondu a státního rozpočtu České republiky</w:t>
    </w:r>
  </w:p>
  <w:p w:rsidR="004B68C1" w:rsidRDefault="004B68C1" w:rsidP="004B68C1">
    <w:pPr>
      <w:pStyle w:val="Zpat"/>
      <w:rPr>
        <w:rFonts w:ascii="Arial" w:hAnsi="Arial" w:cs="Arial"/>
        <w:sz w:val="20"/>
        <w:szCs w:val="20"/>
      </w:rPr>
    </w:pPr>
  </w:p>
  <w:p w:rsidR="004B68C1" w:rsidRPr="004B68C1" w:rsidRDefault="0059669F" w:rsidP="004B68C1">
    <w:pPr>
      <w:pStyle w:val="Zpat"/>
      <w:tabs>
        <w:tab w:val="clear" w:pos="284"/>
        <w:tab w:val="clear" w:pos="4536"/>
        <w:tab w:val="left" w:pos="0"/>
        <w:tab w:val="left" w:pos="3402"/>
      </w:tabs>
      <w:jc w:val="center"/>
      <w:rPr>
        <w:rFonts w:ascii="Arial" w:hAnsi="Arial" w:cs="Arial"/>
        <w:sz w:val="20"/>
        <w:szCs w:val="20"/>
      </w:rPr>
    </w:pPr>
    <w:r>
      <w:rPr>
        <w:rFonts w:ascii="Arial" w:hAnsi="Arial" w:cs="Arial"/>
        <w:noProof/>
        <w:sz w:val="20"/>
        <w:szCs w:val="20"/>
      </w:rPr>
      <w:drawing>
        <wp:inline distT="0" distB="0" distL="0" distR="0">
          <wp:extent cx="1650365" cy="760095"/>
          <wp:effectExtent l="19050" t="0" r="0" b="0"/>
          <wp:docPr id="2"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pic:cNvPicPr>
                    <a:picLocks noChangeAspect="1" noChangeArrowheads="1"/>
                  </pic:cNvPicPr>
                </pic:nvPicPr>
                <pic:blipFill>
                  <a:blip r:embed="rId1"/>
                  <a:srcRect l="2" r="-15527"/>
                  <a:stretch>
                    <a:fillRect/>
                  </a:stretch>
                </pic:blipFill>
                <pic:spPr bwMode="auto">
                  <a:xfrm>
                    <a:off x="0" y="0"/>
                    <a:ext cx="1650365" cy="760095"/>
                  </a:xfrm>
                  <a:prstGeom prst="rect">
                    <a:avLst/>
                  </a:prstGeom>
                  <a:noFill/>
                  <a:ln w="9525">
                    <a:noFill/>
                    <a:miter lim="800000"/>
                    <a:headEnd/>
                    <a:tailEnd/>
                  </a:ln>
                </pic:spPr>
              </pic:pic>
            </a:graphicData>
          </a:graphic>
        </wp:inline>
      </w:drawing>
    </w:r>
    <w:r w:rsidR="004B68C1">
      <w:rPr>
        <w:rFonts w:ascii="Arial" w:hAnsi="Arial" w:cs="Arial"/>
        <w:sz w:val="20"/>
        <w:szCs w:val="20"/>
      </w:rPr>
      <w:tab/>
    </w:r>
    <w:r>
      <w:rPr>
        <w:rFonts w:ascii="Arial" w:hAnsi="Arial" w:cs="Arial"/>
        <w:noProof/>
        <w:sz w:val="20"/>
        <w:szCs w:val="20"/>
      </w:rPr>
      <w:drawing>
        <wp:inline distT="0" distB="0" distL="0" distR="0">
          <wp:extent cx="1603375" cy="760095"/>
          <wp:effectExtent l="19050" t="0" r="0" b="0"/>
          <wp:docPr id="3"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
                  <pic:cNvPicPr>
                    <a:picLocks noChangeAspect="1" noChangeArrowheads="1"/>
                  </pic:cNvPicPr>
                </pic:nvPicPr>
                <pic:blipFill>
                  <a:blip r:embed="rId2"/>
                  <a:srcRect/>
                  <a:stretch>
                    <a:fillRect/>
                  </a:stretch>
                </pic:blipFill>
                <pic:spPr bwMode="auto">
                  <a:xfrm>
                    <a:off x="0" y="0"/>
                    <a:ext cx="1603375" cy="760095"/>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D1" w:rsidRDefault="00C361D1" w:rsidP="006B6E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F4A" w:rsidRDefault="00112F4A" w:rsidP="006B6ECF">
      <w:r>
        <w:separator/>
      </w:r>
    </w:p>
  </w:footnote>
  <w:footnote w:type="continuationSeparator" w:id="0">
    <w:p w:rsidR="00112F4A" w:rsidRDefault="00112F4A" w:rsidP="006B6E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C1" w:rsidRDefault="0059669F" w:rsidP="004B68C1">
    <w:pPr>
      <w:pStyle w:val="Zpat"/>
    </w:pPr>
    <w:r>
      <w:rPr>
        <w:noProof/>
      </w:rPr>
      <w:drawing>
        <wp:inline distT="0" distB="0" distL="0" distR="0">
          <wp:extent cx="5759450" cy="125857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759450" cy="125857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D1" w:rsidRDefault="00C361D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F5523D"/>
    <w:multiLevelType w:val="hybridMultilevel"/>
    <w:tmpl w:val="7C4CE7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35618C"/>
    <w:multiLevelType w:val="hybridMultilevel"/>
    <w:tmpl w:val="51D242C4"/>
    <w:lvl w:ilvl="0" w:tplc="DB3893FA">
      <w:start w:val="1"/>
      <w:numFmt w:val="decimal"/>
      <w:pStyle w:val="Odstavec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EA0EB6"/>
    <w:multiLevelType w:val="hybridMultilevel"/>
    <w:tmpl w:val="13169A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CB6A72"/>
    <w:multiLevelType w:val="hybridMultilevel"/>
    <w:tmpl w:val="EC0C47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0A2A0F02"/>
    <w:multiLevelType w:val="hybridMultilevel"/>
    <w:tmpl w:val="D514EC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C0A06D5"/>
    <w:multiLevelType w:val="hybridMultilevel"/>
    <w:tmpl w:val="33A22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247646F"/>
    <w:multiLevelType w:val="hybridMultilevel"/>
    <w:tmpl w:val="820444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A60967"/>
    <w:multiLevelType w:val="hybridMultilevel"/>
    <w:tmpl w:val="96EC6088"/>
    <w:lvl w:ilvl="0" w:tplc="14CE802C">
      <w:start w:val="1"/>
      <w:numFmt w:val="low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8983DDA"/>
    <w:multiLevelType w:val="hybridMultilevel"/>
    <w:tmpl w:val="3EDA9F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5E0A40"/>
    <w:multiLevelType w:val="hybridMultilevel"/>
    <w:tmpl w:val="BB125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C9779F9"/>
    <w:multiLevelType w:val="hybridMultilevel"/>
    <w:tmpl w:val="DFCC50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2E551E1"/>
    <w:multiLevelType w:val="hybridMultilevel"/>
    <w:tmpl w:val="DC9C01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4051EE9"/>
    <w:multiLevelType w:val="hybridMultilevel"/>
    <w:tmpl w:val="2AFEBF48"/>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4">
    <w:nsid w:val="28045622"/>
    <w:multiLevelType w:val="hybridMultilevel"/>
    <w:tmpl w:val="1A3CEDB4"/>
    <w:lvl w:ilvl="0" w:tplc="04050017">
      <w:start w:val="1"/>
      <w:numFmt w:val="lowerLetter"/>
      <w:lvlText w:val="%1)"/>
      <w:lvlJc w:val="left"/>
      <w:pPr>
        <w:tabs>
          <w:tab w:val="num" w:pos="720"/>
        </w:tabs>
        <w:ind w:left="720" w:hanging="360"/>
      </w:pPr>
      <w:rPr>
        <w:rFonts w:hint="default"/>
      </w:rPr>
    </w:lvl>
    <w:lvl w:ilvl="1" w:tplc="A0CE81E6">
      <w:start w:val="1"/>
      <w:numFmt w:val="decimal"/>
      <w:lvlText w:val="%2."/>
      <w:lvlJc w:val="left"/>
      <w:pPr>
        <w:tabs>
          <w:tab w:val="num" w:pos="786"/>
        </w:tabs>
        <w:ind w:left="786"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8EE627B"/>
    <w:multiLevelType w:val="hybridMultilevel"/>
    <w:tmpl w:val="32287394"/>
    <w:lvl w:ilvl="0" w:tplc="5C7ECEE6">
      <w:start w:val="1"/>
      <w:numFmt w:val="bullet"/>
      <w:pStyle w:val="Odstavecseseznamem"/>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2A2A391A"/>
    <w:multiLevelType w:val="hybridMultilevel"/>
    <w:tmpl w:val="9A180D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C654D01"/>
    <w:multiLevelType w:val="hybridMultilevel"/>
    <w:tmpl w:val="4F18E5B2"/>
    <w:lvl w:ilvl="0" w:tplc="400C752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DD17699"/>
    <w:multiLevelType w:val="hybridMultilevel"/>
    <w:tmpl w:val="2862BDA2"/>
    <w:lvl w:ilvl="0" w:tplc="EE94493E">
      <w:start w:val="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nsid w:val="30A30AE3"/>
    <w:multiLevelType w:val="hybridMultilevel"/>
    <w:tmpl w:val="7892EF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4F01E6B"/>
    <w:multiLevelType w:val="hybridMultilevel"/>
    <w:tmpl w:val="658643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3CEB4C25"/>
    <w:multiLevelType w:val="hybridMultilevel"/>
    <w:tmpl w:val="CA2ECB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DF3574E"/>
    <w:multiLevelType w:val="hybridMultilevel"/>
    <w:tmpl w:val="2A2A1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08A2E05"/>
    <w:multiLevelType w:val="hybridMultilevel"/>
    <w:tmpl w:val="280CA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2D36C73"/>
    <w:multiLevelType w:val="hybridMultilevel"/>
    <w:tmpl w:val="7892EF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450636D4"/>
    <w:multiLevelType w:val="hybridMultilevel"/>
    <w:tmpl w:val="AE72FD1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20967F3"/>
    <w:multiLevelType w:val="hybridMultilevel"/>
    <w:tmpl w:val="CC42A5DE"/>
    <w:lvl w:ilvl="0" w:tplc="E6DAFB6A">
      <w:start w:val="1"/>
      <w:numFmt w:val="decimal"/>
      <w:pStyle w:val="Normln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3D71E8A"/>
    <w:multiLevelType w:val="hybridMultilevel"/>
    <w:tmpl w:val="AD84568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58B03111"/>
    <w:multiLevelType w:val="hybridMultilevel"/>
    <w:tmpl w:val="3CEEE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B92401E"/>
    <w:multiLevelType w:val="hybridMultilevel"/>
    <w:tmpl w:val="1584B490"/>
    <w:lvl w:ilvl="0" w:tplc="04050001">
      <w:start w:val="1"/>
      <w:numFmt w:val="bullet"/>
      <w:lvlText w:val=""/>
      <w:lvlJc w:val="left"/>
      <w:pPr>
        <w:ind w:left="784" w:hanging="360"/>
      </w:pPr>
      <w:rPr>
        <w:rFonts w:ascii="Symbol" w:hAnsi="Symbol"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30">
    <w:nsid w:val="60683998"/>
    <w:multiLevelType w:val="hybridMultilevel"/>
    <w:tmpl w:val="7972AD3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nsid w:val="633944B6"/>
    <w:multiLevelType w:val="hybridMultilevel"/>
    <w:tmpl w:val="9A7C2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49D2174"/>
    <w:multiLevelType w:val="hybridMultilevel"/>
    <w:tmpl w:val="7CB84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8513D20"/>
    <w:multiLevelType w:val="hybridMultilevel"/>
    <w:tmpl w:val="8F44A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E0205DA"/>
    <w:multiLevelType w:val="hybridMultilevel"/>
    <w:tmpl w:val="54D606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DA6A78"/>
    <w:multiLevelType w:val="hybridMultilevel"/>
    <w:tmpl w:val="7700B12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73EC654E"/>
    <w:multiLevelType w:val="hybridMultilevel"/>
    <w:tmpl w:val="7A48A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70E38A8"/>
    <w:multiLevelType w:val="hybridMultilevel"/>
    <w:tmpl w:val="15826F80"/>
    <w:lvl w:ilvl="0" w:tplc="D6DA0514">
      <w:start w:val="1"/>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A7C3C22"/>
    <w:multiLevelType w:val="hybridMultilevel"/>
    <w:tmpl w:val="5D8AF75A"/>
    <w:lvl w:ilvl="0" w:tplc="6E0C3902">
      <w:start w:val="2"/>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7"/>
  </w:num>
  <w:num w:numId="3">
    <w:abstractNumId w:val="9"/>
  </w:num>
  <w:num w:numId="4">
    <w:abstractNumId w:val="28"/>
  </w:num>
  <w:num w:numId="5">
    <w:abstractNumId w:val="8"/>
  </w:num>
  <w:num w:numId="6">
    <w:abstractNumId w:val="22"/>
  </w:num>
  <w:num w:numId="7">
    <w:abstractNumId w:val="5"/>
  </w:num>
  <w:num w:numId="8">
    <w:abstractNumId w:val="17"/>
  </w:num>
  <w:num w:numId="9">
    <w:abstractNumId w:val="12"/>
  </w:num>
  <w:num w:numId="10">
    <w:abstractNumId w:val="25"/>
  </w:num>
  <w:num w:numId="11">
    <w:abstractNumId w:val="11"/>
  </w:num>
  <w:num w:numId="12">
    <w:abstractNumId w:val="32"/>
  </w:num>
  <w:num w:numId="13">
    <w:abstractNumId w:val="6"/>
  </w:num>
  <w:num w:numId="14">
    <w:abstractNumId w:val="34"/>
  </w:num>
  <w:num w:numId="15">
    <w:abstractNumId w:val="36"/>
  </w:num>
  <w:num w:numId="16">
    <w:abstractNumId w:val="38"/>
  </w:num>
  <w:num w:numId="17">
    <w:abstractNumId w:val="30"/>
  </w:num>
  <w:num w:numId="18">
    <w:abstractNumId w:val="33"/>
  </w:num>
  <w:num w:numId="19">
    <w:abstractNumId w:val="10"/>
  </w:num>
  <w:num w:numId="20">
    <w:abstractNumId w:val="29"/>
  </w:num>
  <w:num w:numId="21">
    <w:abstractNumId w:val="16"/>
  </w:num>
  <w:num w:numId="22">
    <w:abstractNumId w:val="13"/>
  </w:num>
  <w:num w:numId="23">
    <w:abstractNumId w:val="24"/>
  </w:num>
  <w:num w:numId="24">
    <w:abstractNumId w:val="20"/>
  </w:num>
  <w:num w:numId="25">
    <w:abstractNumId w:val="19"/>
  </w:num>
  <w:num w:numId="26">
    <w:abstractNumId w:val="4"/>
  </w:num>
  <w:num w:numId="27">
    <w:abstractNumId w:val="35"/>
  </w:num>
  <w:num w:numId="28">
    <w:abstractNumId w:val="7"/>
  </w:num>
  <w:num w:numId="29">
    <w:abstractNumId w:val="3"/>
  </w:num>
  <w:num w:numId="30">
    <w:abstractNumId w:val="27"/>
  </w:num>
  <w:num w:numId="31">
    <w:abstractNumId w:val="15"/>
  </w:num>
  <w:num w:numId="32">
    <w:abstractNumId w:val="26"/>
  </w:num>
  <w:num w:numId="33">
    <w:abstractNumId w:val="15"/>
  </w:num>
  <w:num w:numId="34">
    <w:abstractNumId w:val="2"/>
  </w:num>
  <w:num w:numId="35">
    <w:abstractNumId w:val="18"/>
  </w:num>
  <w:num w:numId="36">
    <w:abstractNumId w:val="0"/>
  </w:num>
  <w:num w:numId="37">
    <w:abstractNumId w:val="1"/>
  </w:num>
  <w:num w:numId="38">
    <w:abstractNumId w:val="31"/>
  </w:num>
  <w:num w:numId="39">
    <w:abstractNumId w:val="21"/>
  </w:num>
  <w:num w:numId="40">
    <w:abstractNumId w:val="2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25999"/>
    <w:rsid w:val="00036576"/>
    <w:rsid w:val="000461DF"/>
    <w:rsid w:val="00056E9E"/>
    <w:rsid w:val="00066935"/>
    <w:rsid w:val="00070729"/>
    <w:rsid w:val="000818AE"/>
    <w:rsid w:val="00096961"/>
    <w:rsid w:val="000B063C"/>
    <w:rsid w:val="000C34A6"/>
    <w:rsid w:val="000C3C19"/>
    <w:rsid w:val="000D60B7"/>
    <w:rsid w:val="000E4F7B"/>
    <w:rsid w:val="000E5A4E"/>
    <w:rsid w:val="000F736A"/>
    <w:rsid w:val="00112F4A"/>
    <w:rsid w:val="001409E6"/>
    <w:rsid w:val="00146B50"/>
    <w:rsid w:val="00153BAC"/>
    <w:rsid w:val="001570B3"/>
    <w:rsid w:val="00166106"/>
    <w:rsid w:val="0017308C"/>
    <w:rsid w:val="00190C13"/>
    <w:rsid w:val="001920A5"/>
    <w:rsid w:val="00192368"/>
    <w:rsid w:val="001963D1"/>
    <w:rsid w:val="001C05B2"/>
    <w:rsid w:val="001C1239"/>
    <w:rsid w:val="001C6168"/>
    <w:rsid w:val="001E3684"/>
    <w:rsid w:val="001E39BB"/>
    <w:rsid w:val="001E74BA"/>
    <w:rsid w:val="001F3843"/>
    <w:rsid w:val="00203908"/>
    <w:rsid w:val="00213290"/>
    <w:rsid w:val="00215BB9"/>
    <w:rsid w:val="00216DCB"/>
    <w:rsid w:val="00225375"/>
    <w:rsid w:val="002268F5"/>
    <w:rsid w:val="00226A10"/>
    <w:rsid w:val="00246457"/>
    <w:rsid w:val="00247472"/>
    <w:rsid w:val="00254C53"/>
    <w:rsid w:val="00256330"/>
    <w:rsid w:val="002573A2"/>
    <w:rsid w:val="002608DB"/>
    <w:rsid w:val="0026217B"/>
    <w:rsid w:val="00271DA0"/>
    <w:rsid w:val="00274668"/>
    <w:rsid w:val="00286109"/>
    <w:rsid w:val="002A57AE"/>
    <w:rsid w:val="002B3CFD"/>
    <w:rsid w:val="002C2440"/>
    <w:rsid w:val="002D10E5"/>
    <w:rsid w:val="002D29BE"/>
    <w:rsid w:val="002D29F2"/>
    <w:rsid w:val="002E14E4"/>
    <w:rsid w:val="002E277E"/>
    <w:rsid w:val="002E42CD"/>
    <w:rsid w:val="002E7789"/>
    <w:rsid w:val="002F65AA"/>
    <w:rsid w:val="002F7EEB"/>
    <w:rsid w:val="00301365"/>
    <w:rsid w:val="00301F69"/>
    <w:rsid w:val="0031087A"/>
    <w:rsid w:val="00317893"/>
    <w:rsid w:val="00323DD4"/>
    <w:rsid w:val="00325A8F"/>
    <w:rsid w:val="00326135"/>
    <w:rsid w:val="003442FE"/>
    <w:rsid w:val="003573F5"/>
    <w:rsid w:val="00370000"/>
    <w:rsid w:val="0037387F"/>
    <w:rsid w:val="00377FE9"/>
    <w:rsid w:val="003815AB"/>
    <w:rsid w:val="003932B0"/>
    <w:rsid w:val="00395B56"/>
    <w:rsid w:val="003A0A03"/>
    <w:rsid w:val="003A3F92"/>
    <w:rsid w:val="003A7B84"/>
    <w:rsid w:val="003B5C65"/>
    <w:rsid w:val="003B61B3"/>
    <w:rsid w:val="003C1F94"/>
    <w:rsid w:val="003D0BED"/>
    <w:rsid w:val="003D4D9A"/>
    <w:rsid w:val="003E11C5"/>
    <w:rsid w:val="003F5BF0"/>
    <w:rsid w:val="004067F9"/>
    <w:rsid w:val="00421162"/>
    <w:rsid w:val="00426055"/>
    <w:rsid w:val="00431122"/>
    <w:rsid w:val="00435158"/>
    <w:rsid w:val="0043547B"/>
    <w:rsid w:val="0044031D"/>
    <w:rsid w:val="004445D2"/>
    <w:rsid w:val="00445313"/>
    <w:rsid w:val="004474A5"/>
    <w:rsid w:val="004610B5"/>
    <w:rsid w:val="00466548"/>
    <w:rsid w:val="00467354"/>
    <w:rsid w:val="00475C36"/>
    <w:rsid w:val="0048492E"/>
    <w:rsid w:val="00487A3B"/>
    <w:rsid w:val="00487E96"/>
    <w:rsid w:val="004B3367"/>
    <w:rsid w:val="004B43EE"/>
    <w:rsid w:val="004B68C1"/>
    <w:rsid w:val="004C5367"/>
    <w:rsid w:val="004C5A41"/>
    <w:rsid w:val="004C5AAA"/>
    <w:rsid w:val="004C62B6"/>
    <w:rsid w:val="004C79B4"/>
    <w:rsid w:val="004D37E8"/>
    <w:rsid w:val="004E2682"/>
    <w:rsid w:val="004E5593"/>
    <w:rsid w:val="004F506E"/>
    <w:rsid w:val="00501711"/>
    <w:rsid w:val="00501906"/>
    <w:rsid w:val="005037BC"/>
    <w:rsid w:val="005045FE"/>
    <w:rsid w:val="00512A48"/>
    <w:rsid w:val="00534AAF"/>
    <w:rsid w:val="005450DA"/>
    <w:rsid w:val="00545CB5"/>
    <w:rsid w:val="00547ACE"/>
    <w:rsid w:val="00551DA5"/>
    <w:rsid w:val="0055226C"/>
    <w:rsid w:val="005545EC"/>
    <w:rsid w:val="00560384"/>
    <w:rsid w:val="0056077C"/>
    <w:rsid w:val="00563581"/>
    <w:rsid w:val="0056453B"/>
    <w:rsid w:val="00581121"/>
    <w:rsid w:val="005816AE"/>
    <w:rsid w:val="0058526B"/>
    <w:rsid w:val="005958AE"/>
    <w:rsid w:val="0059669F"/>
    <w:rsid w:val="005977C2"/>
    <w:rsid w:val="005A6C76"/>
    <w:rsid w:val="005B36E2"/>
    <w:rsid w:val="005E4668"/>
    <w:rsid w:val="005F00C3"/>
    <w:rsid w:val="005F3CF7"/>
    <w:rsid w:val="0060143E"/>
    <w:rsid w:val="00603384"/>
    <w:rsid w:val="00612128"/>
    <w:rsid w:val="00642182"/>
    <w:rsid w:val="00642569"/>
    <w:rsid w:val="00647780"/>
    <w:rsid w:val="00651DB6"/>
    <w:rsid w:val="00654CF6"/>
    <w:rsid w:val="006555C3"/>
    <w:rsid w:val="0067432E"/>
    <w:rsid w:val="00677B8B"/>
    <w:rsid w:val="00691B78"/>
    <w:rsid w:val="00691D45"/>
    <w:rsid w:val="0069331D"/>
    <w:rsid w:val="006A7E6C"/>
    <w:rsid w:val="006B033A"/>
    <w:rsid w:val="006B07E6"/>
    <w:rsid w:val="006B0B71"/>
    <w:rsid w:val="006B3A71"/>
    <w:rsid w:val="006B609D"/>
    <w:rsid w:val="006B6A32"/>
    <w:rsid w:val="006B6ECF"/>
    <w:rsid w:val="006C08F7"/>
    <w:rsid w:val="006C2299"/>
    <w:rsid w:val="006C3FFB"/>
    <w:rsid w:val="006C70E4"/>
    <w:rsid w:val="006D26AA"/>
    <w:rsid w:val="006F10D5"/>
    <w:rsid w:val="006F6008"/>
    <w:rsid w:val="007052E4"/>
    <w:rsid w:val="00705E09"/>
    <w:rsid w:val="00716B99"/>
    <w:rsid w:val="00725C21"/>
    <w:rsid w:val="00734267"/>
    <w:rsid w:val="00736171"/>
    <w:rsid w:val="0075244F"/>
    <w:rsid w:val="00755256"/>
    <w:rsid w:val="007708D3"/>
    <w:rsid w:val="00770B33"/>
    <w:rsid w:val="007747DE"/>
    <w:rsid w:val="00791046"/>
    <w:rsid w:val="00797CFE"/>
    <w:rsid w:val="007A10AE"/>
    <w:rsid w:val="007B619A"/>
    <w:rsid w:val="007D1E69"/>
    <w:rsid w:val="007E2F47"/>
    <w:rsid w:val="00825999"/>
    <w:rsid w:val="0083261B"/>
    <w:rsid w:val="00842561"/>
    <w:rsid w:val="00844EBA"/>
    <w:rsid w:val="0084690F"/>
    <w:rsid w:val="00854216"/>
    <w:rsid w:val="00856991"/>
    <w:rsid w:val="0086337F"/>
    <w:rsid w:val="008707D6"/>
    <w:rsid w:val="00887B94"/>
    <w:rsid w:val="008924BF"/>
    <w:rsid w:val="008928F6"/>
    <w:rsid w:val="008A5EEF"/>
    <w:rsid w:val="008B6229"/>
    <w:rsid w:val="008B6DCF"/>
    <w:rsid w:val="008D0BBF"/>
    <w:rsid w:val="008D4267"/>
    <w:rsid w:val="008D5606"/>
    <w:rsid w:val="008F1ECD"/>
    <w:rsid w:val="008F4257"/>
    <w:rsid w:val="008F48AB"/>
    <w:rsid w:val="00901DF3"/>
    <w:rsid w:val="009159BF"/>
    <w:rsid w:val="00916F3A"/>
    <w:rsid w:val="00922EA2"/>
    <w:rsid w:val="009269D7"/>
    <w:rsid w:val="00941C80"/>
    <w:rsid w:val="009527C3"/>
    <w:rsid w:val="009660BE"/>
    <w:rsid w:val="00971672"/>
    <w:rsid w:val="00976AA7"/>
    <w:rsid w:val="00984F3F"/>
    <w:rsid w:val="00997404"/>
    <w:rsid w:val="009A0520"/>
    <w:rsid w:val="009A646B"/>
    <w:rsid w:val="009A6D7C"/>
    <w:rsid w:val="009A7E02"/>
    <w:rsid w:val="009B0C14"/>
    <w:rsid w:val="009C3572"/>
    <w:rsid w:val="009C3687"/>
    <w:rsid w:val="009C5EE9"/>
    <w:rsid w:val="009D4F4C"/>
    <w:rsid w:val="009F6F09"/>
    <w:rsid w:val="00A00982"/>
    <w:rsid w:val="00A222C6"/>
    <w:rsid w:val="00A33835"/>
    <w:rsid w:val="00A51A8B"/>
    <w:rsid w:val="00A55188"/>
    <w:rsid w:val="00A6180C"/>
    <w:rsid w:val="00A76D3E"/>
    <w:rsid w:val="00A86A42"/>
    <w:rsid w:val="00A917B9"/>
    <w:rsid w:val="00A95BD4"/>
    <w:rsid w:val="00AA2617"/>
    <w:rsid w:val="00AA32FC"/>
    <w:rsid w:val="00AB2606"/>
    <w:rsid w:val="00AB4CCE"/>
    <w:rsid w:val="00AC1A93"/>
    <w:rsid w:val="00AD3ED0"/>
    <w:rsid w:val="00AD674C"/>
    <w:rsid w:val="00AD7226"/>
    <w:rsid w:val="00AE1C3E"/>
    <w:rsid w:val="00AE78D5"/>
    <w:rsid w:val="00AF042F"/>
    <w:rsid w:val="00B1502C"/>
    <w:rsid w:val="00B16189"/>
    <w:rsid w:val="00B26DAA"/>
    <w:rsid w:val="00B279D5"/>
    <w:rsid w:val="00B31FE3"/>
    <w:rsid w:val="00B37348"/>
    <w:rsid w:val="00B4024A"/>
    <w:rsid w:val="00B41BE1"/>
    <w:rsid w:val="00B450B0"/>
    <w:rsid w:val="00B54856"/>
    <w:rsid w:val="00B561A8"/>
    <w:rsid w:val="00B64FD6"/>
    <w:rsid w:val="00B657BF"/>
    <w:rsid w:val="00B73949"/>
    <w:rsid w:val="00B74CED"/>
    <w:rsid w:val="00B8173F"/>
    <w:rsid w:val="00B861D4"/>
    <w:rsid w:val="00B90FC9"/>
    <w:rsid w:val="00B92BE0"/>
    <w:rsid w:val="00B934BE"/>
    <w:rsid w:val="00B944E8"/>
    <w:rsid w:val="00B96B52"/>
    <w:rsid w:val="00BA5B47"/>
    <w:rsid w:val="00BB7B0A"/>
    <w:rsid w:val="00BB7E93"/>
    <w:rsid w:val="00BC2895"/>
    <w:rsid w:val="00BC2EF4"/>
    <w:rsid w:val="00BD76DA"/>
    <w:rsid w:val="00BD7A55"/>
    <w:rsid w:val="00BE18A4"/>
    <w:rsid w:val="00BF03E3"/>
    <w:rsid w:val="00BF0AF3"/>
    <w:rsid w:val="00BF0B13"/>
    <w:rsid w:val="00BF341B"/>
    <w:rsid w:val="00C07636"/>
    <w:rsid w:val="00C24678"/>
    <w:rsid w:val="00C25895"/>
    <w:rsid w:val="00C32A64"/>
    <w:rsid w:val="00C361D1"/>
    <w:rsid w:val="00C40449"/>
    <w:rsid w:val="00C446DB"/>
    <w:rsid w:val="00C52B1B"/>
    <w:rsid w:val="00C63419"/>
    <w:rsid w:val="00C66719"/>
    <w:rsid w:val="00CA1FCD"/>
    <w:rsid w:val="00CB49E6"/>
    <w:rsid w:val="00CB4DFC"/>
    <w:rsid w:val="00CB4EB8"/>
    <w:rsid w:val="00CD2050"/>
    <w:rsid w:val="00CE6C1B"/>
    <w:rsid w:val="00CF3988"/>
    <w:rsid w:val="00CF5BB6"/>
    <w:rsid w:val="00D01C23"/>
    <w:rsid w:val="00D038AB"/>
    <w:rsid w:val="00D03CB1"/>
    <w:rsid w:val="00D36A2E"/>
    <w:rsid w:val="00D37F15"/>
    <w:rsid w:val="00D444D0"/>
    <w:rsid w:val="00D469FF"/>
    <w:rsid w:val="00D62D5A"/>
    <w:rsid w:val="00D63FFF"/>
    <w:rsid w:val="00D75097"/>
    <w:rsid w:val="00D77203"/>
    <w:rsid w:val="00D8015C"/>
    <w:rsid w:val="00D827E7"/>
    <w:rsid w:val="00D82AE5"/>
    <w:rsid w:val="00DA554F"/>
    <w:rsid w:val="00DA6F4E"/>
    <w:rsid w:val="00DB12B4"/>
    <w:rsid w:val="00DB6390"/>
    <w:rsid w:val="00DC18C7"/>
    <w:rsid w:val="00DC2D24"/>
    <w:rsid w:val="00DD151D"/>
    <w:rsid w:val="00DD1AC7"/>
    <w:rsid w:val="00DD7AD8"/>
    <w:rsid w:val="00DF4E69"/>
    <w:rsid w:val="00DF6CC0"/>
    <w:rsid w:val="00E10118"/>
    <w:rsid w:val="00E10ED7"/>
    <w:rsid w:val="00E13860"/>
    <w:rsid w:val="00E15B68"/>
    <w:rsid w:val="00E2142E"/>
    <w:rsid w:val="00E41ABA"/>
    <w:rsid w:val="00E54792"/>
    <w:rsid w:val="00E604EA"/>
    <w:rsid w:val="00E63848"/>
    <w:rsid w:val="00E722A8"/>
    <w:rsid w:val="00E768AA"/>
    <w:rsid w:val="00E84EAF"/>
    <w:rsid w:val="00E84FC8"/>
    <w:rsid w:val="00E90C63"/>
    <w:rsid w:val="00E91372"/>
    <w:rsid w:val="00E948FD"/>
    <w:rsid w:val="00E9548C"/>
    <w:rsid w:val="00EB71DB"/>
    <w:rsid w:val="00EC1E54"/>
    <w:rsid w:val="00ED0F9E"/>
    <w:rsid w:val="00ED698C"/>
    <w:rsid w:val="00EE6A60"/>
    <w:rsid w:val="00EE7580"/>
    <w:rsid w:val="00EF001F"/>
    <w:rsid w:val="00EF4E3F"/>
    <w:rsid w:val="00EF5655"/>
    <w:rsid w:val="00F07212"/>
    <w:rsid w:val="00F15822"/>
    <w:rsid w:val="00F2511D"/>
    <w:rsid w:val="00F34406"/>
    <w:rsid w:val="00F4358D"/>
    <w:rsid w:val="00F449CD"/>
    <w:rsid w:val="00F70B34"/>
    <w:rsid w:val="00F91524"/>
    <w:rsid w:val="00F9435E"/>
    <w:rsid w:val="00FA0611"/>
    <w:rsid w:val="00FC0B06"/>
    <w:rsid w:val="00FC1F77"/>
    <w:rsid w:val="00FC6969"/>
    <w:rsid w:val="00FD5882"/>
    <w:rsid w:val="00FD78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6991"/>
    <w:pPr>
      <w:tabs>
        <w:tab w:val="left" w:pos="284"/>
      </w:tabs>
      <w:spacing w:after="200" w:line="276" w:lineRule="auto"/>
      <w:jc w:val="both"/>
    </w:pPr>
    <w:rPr>
      <w:rFonts w:ascii="Tahoma" w:hAnsi="Tahoma" w:cs="Tahoma"/>
      <w:sz w:val="24"/>
      <w:szCs w:val="28"/>
    </w:rPr>
  </w:style>
  <w:style w:type="paragraph" w:styleId="Nadpis1">
    <w:name w:val="heading 1"/>
    <w:basedOn w:val="Normln"/>
    <w:next w:val="Normln"/>
    <w:link w:val="Nadpis1Char"/>
    <w:uiPriority w:val="9"/>
    <w:qFormat/>
    <w:rsid w:val="006B6ECF"/>
    <w:pPr>
      <w:jc w:val="center"/>
      <w:outlineLvl w:val="0"/>
    </w:pPr>
    <w:rPr>
      <w:b/>
      <w:sz w:val="44"/>
      <w:szCs w:val="32"/>
    </w:rPr>
  </w:style>
  <w:style w:type="paragraph" w:styleId="Nadpis2">
    <w:name w:val="heading 2"/>
    <w:basedOn w:val="Normln"/>
    <w:next w:val="Normln"/>
    <w:link w:val="Nadpis2Char"/>
    <w:uiPriority w:val="9"/>
    <w:unhideWhenUsed/>
    <w:qFormat/>
    <w:rsid w:val="006B6ECF"/>
    <w:pPr>
      <w:outlineLvl w:val="1"/>
    </w:pPr>
    <w:rPr>
      <w:b/>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716B9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semiHidden/>
    <w:rsid w:val="00716B99"/>
    <w:pPr>
      <w:spacing w:after="0" w:line="240" w:lineRule="auto"/>
    </w:pPr>
    <w:rPr>
      <w:rFonts w:ascii="Times New Roman" w:hAnsi="Times New Roman" w:cs="Times New Roman"/>
      <w:sz w:val="20"/>
      <w:szCs w:val="20"/>
    </w:rPr>
  </w:style>
  <w:style w:type="character" w:customStyle="1" w:styleId="TextpoznpodarouChar">
    <w:name w:val="Text pozn. pod čarou Char"/>
    <w:basedOn w:val="Standardnpsmoodstavce"/>
    <w:link w:val="Textpoznpodarou"/>
    <w:semiHidden/>
    <w:rsid w:val="00716B99"/>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716B99"/>
    <w:rPr>
      <w:vertAlign w:val="superscript"/>
    </w:rPr>
  </w:style>
  <w:style w:type="paragraph" w:styleId="Rozloendokumentu">
    <w:name w:val="Document Map"/>
    <w:basedOn w:val="Normln"/>
    <w:link w:val="RozloendokumentuChar"/>
    <w:uiPriority w:val="99"/>
    <w:semiHidden/>
    <w:unhideWhenUsed/>
    <w:rsid w:val="004C5A41"/>
    <w:pPr>
      <w:spacing w:after="0" w:line="240" w:lineRule="auto"/>
    </w:pPr>
    <w:rPr>
      <w:sz w:val="16"/>
      <w:szCs w:val="16"/>
    </w:rPr>
  </w:style>
  <w:style w:type="character" w:customStyle="1" w:styleId="RozloendokumentuChar">
    <w:name w:val="Rozložení dokumentu Char"/>
    <w:basedOn w:val="Standardnpsmoodstavce"/>
    <w:link w:val="Rozloendokumentu"/>
    <w:uiPriority w:val="99"/>
    <w:semiHidden/>
    <w:rsid w:val="004C5A41"/>
    <w:rPr>
      <w:rFonts w:ascii="Tahoma" w:hAnsi="Tahoma" w:cs="Tahoma"/>
      <w:sz w:val="16"/>
      <w:szCs w:val="16"/>
    </w:rPr>
  </w:style>
  <w:style w:type="paragraph" w:styleId="Textbubliny">
    <w:name w:val="Balloon Text"/>
    <w:basedOn w:val="Normln"/>
    <w:link w:val="TextbublinyChar"/>
    <w:uiPriority w:val="99"/>
    <w:semiHidden/>
    <w:unhideWhenUsed/>
    <w:rsid w:val="005450DA"/>
    <w:pPr>
      <w:spacing w:after="0" w:line="240" w:lineRule="auto"/>
    </w:pPr>
    <w:rPr>
      <w:sz w:val="16"/>
      <w:szCs w:val="16"/>
    </w:rPr>
  </w:style>
  <w:style w:type="character" w:customStyle="1" w:styleId="TextbublinyChar">
    <w:name w:val="Text bubliny Char"/>
    <w:basedOn w:val="Standardnpsmoodstavce"/>
    <w:link w:val="Textbubliny"/>
    <w:uiPriority w:val="99"/>
    <w:semiHidden/>
    <w:rsid w:val="005450DA"/>
    <w:rPr>
      <w:rFonts w:ascii="Tahoma" w:hAnsi="Tahoma" w:cs="Tahoma"/>
      <w:sz w:val="16"/>
      <w:szCs w:val="16"/>
    </w:rPr>
  </w:style>
  <w:style w:type="paragraph" w:customStyle="1" w:styleId="Styl">
    <w:name w:val="Styl"/>
    <w:rsid w:val="00BB7E93"/>
    <w:pPr>
      <w:widowControl w:val="0"/>
      <w:autoSpaceDE w:val="0"/>
      <w:autoSpaceDN w:val="0"/>
      <w:adjustRightInd w:val="0"/>
    </w:pPr>
    <w:rPr>
      <w:rFonts w:ascii="Arial" w:hAnsi="Arial" w:cs="Arial"/>
      <w:sz w:val="24"/>
      <w:szCs w:val="24"/>
    </w:rPr>
  </w:style>
  <w:style w:type="paragraph" w:styleId="Odstavecseseznamem">
    <w:name w:val="List Paragraph"/>
    <w:basedOn w:val="Normln"/>
    <w:uiPriority w:val="34"/>
    <w:qFormat/>
    <w:rsid w:val="00A6180C"/>
    <w:pPr>
      <w:numPr>
        <w:numId w:val="31"/>
      </w:numPr>
      <w:tabs>
        <w:tab w:val="clear" w:pos="284"/>
        <w:tab w:val="left" w:pos="567"/>
      </w:tabs>
      <w:contextualSpacing/>
    </w:pPr>
  </w:style>
  <w:style w:type="paragraph" w:styleId="Zhlav">
    <w:name w:val="header"/>
    <w:basedOn w:val="Normln"/>
    <w:link w:val="ZhlavChar"/>
    <w:uiPriority w:val="99"/>
    <w:unhideWhenUsed/>
    <w:rsid w:val="00AB2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2606"/>
  </w:style>
  <w:style w:type="paragraph" w:styleId="Zpat">
    <w:name w:val="footer"/>
    <w:basedOn w:val="Normln"/>
    <w:link w:val="ZpatChar"/>
    <w:uiPriority w:val="99"/>
    <w:unhideWhenUsed/>
    <w:rsid w:val="00AB2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AB2606"/>
  </w:style>
  <w:style w:type="character" w:customStyle="1" w:styleId="Nadpis1Char">
    <w:name w:val="Nadpis 1 Char"/>
    <w:basedOn w:val="Standardnpsmoodstavce"/>
    <w:link w:val="Nadpis1"/>
    <w:uiPriority w:val="9"/>
    <w:rsid w:val="006B6ECF"/>
    <w:rPr>
      <w:rFonts w:ascii="Tahoma" w:hAnsi="Tahoma" w:cs="Tahoma"/>
      <w:b/>
      <w:sz w:val="44"/>
      <w:szCs w:val="32"/>
    </w:rPr>
  </w:style>
  <w:style w:type="character" w:customStyle="1" w:styleId="Nadpis2Char">
    <w:name w:val="Nadpis 2 Char"/>
    <w:basedOn w:val="Standardnpsmoodstavce"/>
    <w:link w:val="Nadpis2"/>
    <w:uiPriority w:val="9"/>
    <w:rsid w:val="006B6ECF"/>
    <w:rPr>
      <w:rFonts w:ascii="Tahoma" w:hAnsi="Tahoma" w:cs="Tahoma"/>
      <w:b/>
      <w:sz w:val="32"/>
      <w:szCs w:val="32"/>
    </w:rPr>
  </w:style>
  <w:style w:type="character" w:styleId="Hypertextovodkaz">
    <w:name w:val="Hyperlink"/>
    <w:uiPriority w:val="99"/>
    <w:unhideWhenUsed/>
    <w:rsid w:val="004D37E8"/>
    <w:rPr>
      <w:color w:val="0000FF"/>
      <w:u w:val="single"/>
    </w:rPr>
  </w:style>
  <w:style w:type="paragraph" w:customStyle="1" w:styleId="Normlntun">
    <w:name w:val="Normální tučné"/>
    <w:basedOn w:val="Normln"/>
    <w:qFormat/>
    <w:rsid w:val="00A6180C"/>
    <w:rPr>
      <w:b/>
    </w:rPr>
  </w:style>
  <w:style w:type="paragraph" w:customStyle="1" w:styleId="Normlnpododstavcemseseznamem">
    <w:name w:val="Normální pod odstavcem se seznamem"/>
    <w:basedOn w:val="Normln"/>
    <w:qFormat/>
    <w:rsid w:val="00A6180C"/>
    <w:pPr>
      <w:ind w:left="567"/>
    </w:pPr>
  </w:style>
  <w:style w:type="paragraph" w:customStyle="1" w:styleId="Tabulkanormlntun">
    <w:name w:val="Tabulka normální tučné"/>
    <w:basedOn w:val="Normln"/>
    <w:qFormat/>
    <w:rsid w:val="00A6180C"/>
    <w:pPr>
      <w:spacing w:before="120" w:after="120"/>
      <w:jc w:val="center"/>
    </w:pPr>
    <w:rPr>
      <w:b/>
      <w:color w:val="000000"/>
    </w:rPr>
  </w:style>
  <w:style w:type="paragraph" w:customStyle="1" w:styleId="Tabulka">
    <w:name w:val="Tabulka"/>
    <w:basedOn w:val="Normlntun"/>
    <w:qFormat/>
    <w:rsid w:val="00856991"/>
    <w:pPr>
      <w:spacing w:before="120" w:after="120"/>
      <w:jc w:val="left"/>
    </w:pPr>
  </w:style>
  <w:style w:type="paragraph" w:customStyle="1" w:styleId="Tabulkanormln">
    <w:name w:val="Tabulka normální"/>
    <w:basedOn w:val="Normln"/>
    <w:qFormat/>
    <w:rsid w:val="00922EA2"/>
    <w:pPr>
      <w:jc w:val="left"/>
    </w:pPr>
  </w:style>
  <w:style w:type="paragraph" w:customStyle="1" w:styleId="Tabulkaodstavecseseznamem">
    <w:name w:val="Tabulka odstavec se seznamem"/>
    <w:basedOn w:val="Odstavecseseznamem"/>
    <w:qFormat/>
    <w:rsid w:val="00922EA2"/>
    <w:pPr>
      <w:jc w:val="left"/>
    </w:pPr>
  </w:style>
  <w:style w:type="paragraph" w:customStyle="1" w:styleId="Normnltun-pracovnlist">
    <w:name w:val="Normánlí tučně - pracovní list"/>
    <w:basedOn w:val="Normln"/>
    <w:qFormat/>
    <w:rsid w:val="00856991"/>
    <w:pPr>
      <w:outlineLvl w:val="0"/>
    </w:pPr>
    <w:rPr>
      <w:b/>
      <w:bCs/>
    </w:rPr>
  </w:style>
  <w:style w:type="paragraph" w:customStyle="1" w:styleId="Normlnslovn">
    <w:name w:val="Normální číslování"/>
    <w:basedOn w:val="Odstavecseseznamem"/>
    <w:qFormat/>
    <w:rsid w:val="00856991"/>
    <w:pPr>
      <w:numPr>
        <w:numId w:val="32"/>
      </w:numPr>
      <w:tabs>
        <w:tab w:val="clear" w:pos="567"/>
        <w:tab w:val="left" w:pos="284"/>
      </w:tabs>
      <w:spacing w:after="120"/>
      <w:ind w:left="284" w:hanging="284"/>
      <w:contextualSpacing w:val="0"/>
    </w:pPr>
  </w:style>
  <w:style w:type="paragraph" w:customStyle="1" w:styleId="Odstavecslovn">
    <w:name w:val="Odstavec číslování"/>
    <w:basedOn w:val="Odstavecseseznamem"/>
    <w:qFormat/>
    <w:rsid w:val="00BE18A4"/>
    <w:pPr>
      <w:numPr>
        <w:numId w:val="34"/>
      </w:numPr>
      <w:tabs>
        <w:tab w:val="clear" w:pos="567"/>
        <w:tab w:val="left" w:pos="284"/>
      </w:tabs>
      <w:ind w:left="567" w:hanging="283"/>
    </w:pPr>
  </w:style>
  <w:style w:type="paragraph" w:customStyle="1" w:styleId="Normlnzvraznn">
    <w:name w:val="Normální zvýrazněné"/>
    <w:basedOn w:val="Normln"/>
    <w:qFormat/>
    <w:rsid w:val="00BE18A4"/>
    <w:rPr>
      <w:i/>
      <w:sz w:val="28"/>
    </w:rPr>
  </w:style>
  <w:style w:type="character" w:customStyle="1" w:styleId="zalozka">
    <w:name w:val="zalozka"/>
    <w:rsid w:val="003B61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yperlink" Target="http://blisty.cz/art/25854.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www.freedigitalphotos.net" TargetMode="External"/><Relationship Id="rId20" Type="http://schemas.openxmlformats.org/officeDocument/2006/relationships/hyperlink" Target="http://www.national-geographic.cz/detail/svet-za-18-let-zmizi-polovina-pracovnich-mist-odepsani-jsou-ucitele-vojaci-i-hornici-1124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freedigitalphotos.net"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225;ce\VUREES\pracovn&#237;%20listy\verze%202012-10-16\9\word\VUREES%20rocnik%209%20UL.dot"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Se&#353;it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Naděje</a:t>
            </a:r>
            <a:r>
              <a:rPr lang="cs-CZ" baseline="0"/>
              <a:t> na dožití v ČR 1993 - 2010</a:t>
            </a:r>
            <a:endParaRPr lang="cs-CZ"/>
          </a:p>
        </c:rich>
      </c:tx>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5.7856678384723297E-2"/>
          <c:y val="0.13026861566737424"/>
          <c:w val="0.88383806878198756"/>
          <c:h val="0.72982369051694662"/>
        </c:manualLayout>
      </c:layout>
      <c:bar3DChart>
        <c:barDir val="col"/>
        <c:grouping val="clustered"/>
        <c:varyColors val="0"/>
        <c:ser>
          <c:idx val="0"/>
          <c:order val="0"/>
          <c:tx>
            <c:v>muži</c:v>
          </c:tx>
          <c:invertIfNegative val="0"/>
          <c:cat>
            <c:numRef>
              <c:f>List1!$A$7:$A$24</c:f>
              <c:numCache>
                <c:formatCode>General</c:formatCode>
                <c:ptCount val="18"/>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numCache>
            </c:numRef>
          </c:cat>
          <c:val>
            <c:numRef>
              <c:f>List1!$B$7:$B$24</c:f>
              <c:numCache>
                <c:formatCode>General</c:formatCode>
                <c:ptCount val="18"/>
                <c:pt idx="0">
                  <c:v>69.2</c:v>
                </c:pt>
                <c:pt idx="1">
                  <c:v>69.5</c:v>
                </c:pt>
                <c:pt idx="2">
                  <c:v>70</c:v>
                </c:pt>
                <c:pt idx="3">
                  <c:v>70.400000000000006</c:v>
                </c:pt>
                <c:pt idx="4">
                  <c:v>70.5</c:v>
                </c:pt>
                <c:pt idx="5">
                  <c:v>71.099999999999994</c:v>
                </c:pt>
                <c:pt idx="6">
                  <c:v>71.400000000000006</c:v>
                </c:pt>
                <c:pt idx="7">
                  <c:v>71.7</c:v>
                </c:pt>
                <c:pt idx="8">
                  <c:v>72.099999999999994</c:v>
                </c:pt>
                <c:pt idx="9">
                  <c:v>72.099999999999994</c:v>
                </c:pt>
                <c:pt idx="10">
                  <c:v>72</c:v>
                </c:pt>
                <c:pt idx="11">
                  <c:v>72.599999999999994</c:v>
                </c:pt>
                <c:pt idx="12">
                  <c:v>72.900000000000006</c:v>
                </c:pt>
                <c:pt idx="13">
                  <c:v>73.400000000000006</c:v>
                </c:pt>
                <c:pt idx="14">
                  <c:v>73.7</c:v>
                </c:pt>
                <c:pt idx="15">
                  <c:v>74</c:v>
                </c:pt>
                <c:pt idx="16">
                  <c:v>74.2</c:v>
                </c:pt>
                <c:pt idx="17">
                  <c:v>74.400000000000006</c:v>
                </c:pt>
              </c:numCache>
            </c:numRef>
          </c:val>
        </c:ser>
        <c:ser>
          <c:idx val="1"/>
          <c:order val="1"/>
          <c:tx>
            <c:v>ženy</c:v>
          </c:tx>
          <c:invertIfNegative val="0"/>
          <c:cat>
            <c:numRef>
              <c:f>List1!$A$7:$A$24</c:f>
              <c:numCache>
                <c:formatCode>General</c:formatCode>
                <c:ptCount val="18"/>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numCache>
            </c:numRef>
          </c:cat>
          <c:val>
            <c:numRef>
              <c:f>List1!$C$7:$C$24</c:f>
              <c:numCache>
                <c:formatCode>General</c:formatCode>
                <c:ptCount val="18"/>
                <c:pt idx="0">
                  <c:v>76.400000000000006</c:v>
                </c:pt>
                <c:pt idx="1">
                  <c:v>76.599999999999994</c:v>
                </c:pt>
                <c:pt idx="2">
                  <c:v>76.900000000000006</c:v>
                </c:pt>
                <c:pt idx="3">
                  <c:v>77.3</c:v>
                </c:pt>
                <c:pt idx="4">
                  <c:v>77.5</c:v>
                </c:pt>
                <c:pt idx="5">
                  <c:v>78.099999999999994</c:v>
                </c:pt>
                <c:pt idx="6">
                  <c:v>78.099999999999994</c:v>
                </c:pt>
                <c:pt idx="7">
                  <c:v>78.400000000000006</c:v>
                </c:pt>
                <c:pt idx="8">
                  <c:v>78.400000000000006</c:v>
                </c:pt>
                <c:pt idx="9">
                  <c:v>78.5</c:v>
                </c:pt>
                <c:pt idx="10">
                  <c:v>78.5</c:v>
                </c:pt>
                <c:pt idx="11">
                  <c:v>79.400000000000006</c:v>
                </c:pt>
                <c:pt idx="12">
                  <c:v>79.099999999999994</c:v>
                </c:pt>
                <c:pt idx="13">
                  <c:v>79.7</c:v>
                </c:pt>
                <c:pt idx="14">
                  <c:v>79.900000000000006</c:v>
                </c:pt>
                <c:pt idx="15">
                  <c:v>80.099999999999994</c:v>
                </c:pt>
                <c:pt idx="16">
                  <c:v>80.099999999999994</c:v>
                </c:pt>
                <c:pt idx="17">
                  <c:v>80.599999999999994</c:v>
                </c:pt>
              </c:numCache>
            </c:numRef>
          </c:val>
        </c:ser>
        <c:dLbls>
          <c:showLegendKey val="0"/>
          <c:showVal val="0"/>
          <c:showCatName val="0"/>
          <c:showSerName val="0"/>
          <c:showPercent val="0"/>
          <c:showBubbleSize val="0"/>
        </c:dLbls>
        <c:gapWidth val="150"/>
        <c:shape val="box"/>
        <c:axId val="103618432"/>
        <c:axId val="103619968"/>
        <c:axId val="0"/>
      </c:bar3DChart>
      <c:catAx>
        <c:axId val="103618432"/>
        <c:scaling>
          <c:orientation val="minMax"/>
        </c:scaling>
        <c:delete val="0"/>
        <c:axPos val="b"/>
        <c:numFmt formatCode="General" sourceLinked="1"/>
        <c:majorTickMark val="out"/>
        <c:minorTickMark val="none"/>
        <c:tickLblPos val="nextTo"/>
        <c:crossAx val="103619968"/>
        <c:crosses val="autoZero"/>
        <c:auto val="1"/>
        <c:lblAlgn val="ctr"/>
        <c:lblOffset val="100"/>
        <c:noMultiLvlLbl val="0"/>
      </c:catAx>
      <c:valAx>
        <c:axId val="103619968"/>
        <c:scaling>
          <c:orientation val="minMax"/>
          <c:max val="81"/>
          <c:min val="67"/>
        </c:scaling>
        <c:delete val="0"/>
        <c:axPos val="l"/>
        <c:majorGridlines/>
        <c:numFmt formatCode="General" sourceLinked="1"/>
        <c:majorTickMark val="out"/>
        <c:minorTickMark val="none"/>
        <c:tickLblPos val="nextTo"/>
        <c:crossAx val="103618432"/>
        <c:crosses val="autoZero"/>
        <c:crossBetween val="between"/>
        <c:majorUnit val="1"/>
      </c:valAx>
    </c:plotArea>
    <c:legend>
      <c:legendPos val="r"/>
      <c:layout>
        <c:manualLayout>
          <c:xMode val="edge"/>
          <c:yMode val="edge"/>
          <c:x val="0.89489641671648146"/>
          <c:y val="0.3746542280041083"/>
          <c:w val="7.2477858881387705E-2"/>
          <c:h val="0.12146373390983568"/>
        </c:manualLayout>
      </c:layout>
      <c:overlay val="0"/>
    </c:legend>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Šíření počítačového viru </a:t>
            </a:r>
          </a:p>
        </c:rich>
      </c:tx>
      <c:overlay val="0"/>
    </c:title>
    <c:autoTitleDeleted val="0"/>
    <c:plotArea>
      <c:layout>
        <c:manualLayout>
          <c:layoutTarget val="inner"/>
          <c:xMode val="edge"/>
          <c:yMode val="edge"/>
          <c:x val="0.19264980175350419"/>
          <c:y val="0.16168130280544904"/>
          <c:w val="0.78134547011410915"/>
          <c:h val="0.71272443970440402"/>
        </c:manualLayout>
      </c:layout>
      <c:lineChart>
        <c:grouping val="standard"/>
        <c:varyColors val="0"/>
        <c:ser>
          <c:idx val="0"/>
          <c:order val="0"/>
          <c:marker>
            <c:symbol val="none"/>
          </c:marker>
          <c:val>
            <c:numRef>
              <c:f>List2!$A$4:$A$7</c:f>
              <c:numCache>
                <c:formatCode>General</c:formatCode>
                <c:ptCount val="4"/>
                <c:pt idx="0">
                  <c:v>100</c:v>
                </c:pt>
                <c:pt idx="1">
                  <c:v>5000</c:v>
                </c:pt>
                <c:pt idx="2">
                  <c:v>25000</c:v>
                </c:pt>
                <c:pt idx="3">
                  <c:v>1250000</c:v>
                </c:pt>
              </c:numCache>
            </c:numRef>
          </c:val>
          <c:smooth val="0"/>
        </c:ser>
        <c:dLbls>
          <c:showLegendKey val="0"/>
          <c:showVal val="0"/>
          <c:showCatName val="0"/>
          <c:showSerName val="0"/>
          <c:showPercent val="0"/>
          <c:showBubbleSize val="0"/>
        </c:dLbls>
        <c:marker val="1"/>
        <c:smooth val="0"/>
        <c:axId val="54571392"/>
        <c:axId val="54573312"/>
      </c:lineChart>
      <c:catAx>
        <c:axId val="54571392"/>
        <c:scaling>
          <c:orientation val="minMax"/>
        </c:scaling>
        <c:delete val="0"/>
        <c:axPos val="b"/>
        <c:title>
          <c:tx>
            <c:rich>
              <a:bodyPr/>
              <a:lstStyle/>
              <a:p>
                <a:pPr>
                  <a:defRPr/>
                </a:pPr>
                <a:r>
                  <a:rPr lang="en-US"/>
                  <a:t>počet kroků</a:t>
                </a:r>
              </a:p>
            </c:rich>
          </c:tx>
          <c:layout>
            <c:manualLayout>
              <c:xMode val="edge"/>
              <c:yMode val="edge"/>
              <c:x val="0.72268423893821865"/>
              <c:y val="0.94157525698336764"/>
            </c:manualLayout>
          </c:layout>
          <c:overlay val="0"/>
        </c:title>
        <c:majorTickMark val="out"/>
        <c:minorTickMark val="none"/>
        <c:tickLblPos val="nextTo"/>
        <c:crossAx val="54573312"/>
        <c:crosses val="autoZero"/>
        <c:auto val="1"/>
        <c:lblAlgn val="ctr"/>
        <c:lblOffset val="100"/>
        <c:noMultiLvlLbl val="0"/>
      </c:catAx>
      <c:valAx>
        <c:axId val="54573312"/>
        <c:scaling>
          <c:orientation val="minMax"/>
          <c:max val="1300000"/>
          <c:min val="0"/>
        </c:scaling>
        <c:delete val="0"/>
        <c:axPos val="l"/>
        <c:majorGridlines/>
        <c:title>
          <c:tx>
            <c:rich>
              <a:bodyPr rot="-5400000" vert="horz"/>
              <a:lstStyle/>
              <a:p>
                <a:pPr>
                  <a:defRPr/>
                </a:pPr>
                <a:r>
                  <a:rPr lang="en-US"/>
                  <a:t>počet zasažených</a:t>
                </a:r>
              </a:p>
            </c:rich>
          </c:tx>
          <c:layout>
            <c:manualLayout>
              <c:xMode val="edge"/>
              <c:yMode val="edge"/>
              <c:x val="1.6253048156214516E-2"/>
              <c:y val="0.18007730301723843"/>
            </c:manualLayout>
          </c:layout>
          <c:overlay val="0"/>
        </c:title>
        <c:numFmt formatCode="#,##0" sourceLinked="0"/>
        <c:majorTickMark val="out"/>
        <c:minorTickMark val="none"/>
        <c:tickLblPos val="nextTo"/>
        <c:crossAx val="54571392"/>
        <c:crosses val="autoZero"/>
        <c:crossBetween val="between"/>
      </c:valAx>
    </c:plotArea>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0.58347</cdr:x>
      <cdr:y>0.11176</cdr:y>
    </cdr:from>
    <cdr:to>
      <cdr:x>1</cdr:x>
      <cdr:y>0.2</cdr:y>
    </cdr:to>
    <cdr:sp macro="" textlink="">
      <cdr:nvSpPr>
        <cdr:cNvPr id="2" name="TextovéPole 1"/>
        <cdr:cNvSpPr txBox="1"/>
      </cdr:nvSpPr>
      <cdr:spPr>
        <a:xfrm xmlns:a="http://schemas.openxmlformats.org/drawingml/2006/main">
          <a:off x="3362325" y="361949"/>
          <a:ext cx="2400300" cy="28575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cs-CZ" sz="1000"/>
            <a:t>Zdroj:</a:t>
          </a:r>
          <a:r>
            <a:rPr lang="cs-CZ" sz="1000" baseline="0"/>
            <a:t> </a:t>
          </a:r>
          <a:r>
            <a:rPr lang="cs-CZ" sz="1000"/>
            <a:t>český statistický úřad www.czso.cz</a:t>
          </a:r>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76AEA-6AA7-496C-BCF4-0B1337E1F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VUREES rocnik 9 UL</Template>
  <TotalTime>165</TotalTime>
  <Pages>7</Pages>
  <Words>1370</Words>
  <Characters>8086</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any</dc:creator>
  <cp:lastModifiedBy>Lenovo</cp:lastModifiedBy>
  <cp:revision>26</cp:revision>
  <cp:lastPrinted>2011-09-30T12:47:00Z</cp:lastPrinted>
  <dcterms:created xsi:type="dcterms:W3CDTF">2012-10-22T10:51:00Z</dcterms:created>
  <dcterms:modified xsi:type="dcterms:W3CDTF">2013-02-03T14:59:00Z</dcterms:modified>
</cp:coreProperties>
</file>